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5C57E514" w14:textId="54A607DE" w:rsidR="000B0D2E"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205194787" w:history="1">
        <w:r w:rsidR="000B0D2E" w:rsidRPr="0046143E">
          <w:rPr>
            <w:rStyle w:val="Hyperlink"/>
            <w:noProof/>
          </w:rPr>
          <w:t>General Questions</w:t>
        </w:r>
        <w:r w:rsidR="000B0D2E">
          <w:rPr>
            <w:noProof/>
            <w:webHidden/>
          </w:rPr>
          <w:tab/>
        </w:r>
        <w:r w:rsidR="000B0D2E">
          <w:rPr>
            <w:noProof/>
            <w:webHidden/>
          </w:rPr>
          <w:fldChar w:fldCharType="begin"/>
        </w:r>
        <w:r w:rsidR="000B0D2E">
          <w:rPr>
            <w:noProof/>
            <w:webHidden/>
          </w:rPr>
          <w:instrText xml:space="preserve"> PAGEREF _Toc205194787 \h </w:instrText>
        </w:r>
        <w:r w:rsidR="000B0D2E">
          <w:rPr>
            <w:noProof/>
            <w:webHidden/>
          </w:rPr>
        </w:r>
        <w:r w:rsidR="000B0D2E">
          <w:rPr>
            <w:noProof/>
            <w:webHidden/>
          </w:rPr>
          <w:fldChar w:fldCharType="separate"/>
        </w:r>
        <w:r w:rsidR="000B0D2E">
          <w:rPr>
            <w:noProof/>
            <w:webHidden/>
          </w:rPr>
          <w:t>4</w:t>
        </w:r>
        <w:r w:rsidR="000B0D2E">
          <w:rPr>
            <w:noProof/>
            <w:webHidden/>
          </w:rPr>
          <w:fldChar w:fldCharType="end"/>
        </w:r>
      </w:hyperlink>
    </w:p>
    <w:p w14:paraId="32FC290D" w14:textId="158A75B5" w:rsidR="000B0D2E" w:rsidRDefault="000B0D2E">
      <w:pPr>
        <w:pStyle w:val="TOC1"/>
        <w:tabs>
          <w:tab w:val="right" w:leader="dot" w:pos="10456"/>
        </w:tabs>
        <w:rPr>
          <w:rFonts w:eastAsiaTheme="minorEastAsia"/>
          <w:noProof/>
          <w:lang w:eastAsia="en-GB"/>
        </w:rPr>
      </w:pPr>
      <w:hyperlink w:anchor="_Toc205194788" w:history="1">
        <w:r w:rsidRPr="0046143E">
          <w:rPr>
            <w:rStyle w:val="Hyperlink"/>
            <w:noProof/>
          </w:rPr>
          <w:t>Domain 1: Climate-Related Disclosure</w:t>
        </w:r>
        <w:r>
          <w:rPr>
            <w:noProof/>
            <w:webHidden/>
          </w:rPr>
          <w:tab/>
        </w:r>
        <w:r>
          <w:rPr>
            <w:noProof/>
            <w:webHidden/>
          </w:rPr>
          <w:fldChar w:fldCharType="begin"/>
        </w:r>
        <w:r>
          <w:rPr>
            <w:noProof/>
            <w:webHidden/>
          </w:rPr>
          <w:instrText xml:space="preserve"> PAGEREF _Toc205194788 \h </w:instrText>
        </w:r>
        <w:r>
          <w:rPr>
            <w:noProof/>
            <w:webHidden/>
          </w:rPr>
        </w:r>
        <w:r>
          <w:rPr>
            <w:noProof/>
            <w:webHidden/>
          </w:rPr>
          <w:fldChar w:fldCharType="separate"/>
        </w:r>
        <w:r>
          <w:rPr>
            <w:noProof/>
            <w:webHidden/>
          </w:rPr>
          <w:t>10</w:t>
        </w:r>
        <w:r>
          <w:rPr>
            <w:noProof/>
            <w:webHidden/>
          </w:rPr>
          <w:fldChar w:fldCharType="end"/>
        </w:r>
      </w:hyperlink>
    </w:p>
    <w:p w14:paraId="0EBFAA12" w14:textId="4EF078DD" w:rsidR="000B0D2E" w:rsidRDefault="000B0D2E">
      <w:pPr>
        <w:pStyle w:val="TOC2"/>
        <w:tabs>
          <w:tab w:val="right" w:leader="dot" w:pos="10456"/>
        </w:tabs>
        <w:rPr>
          <w:rFonts w:eastAsiaTheme="minorEastAsia"/>
          <w:noProof/>
          <w:lang w:eastAsia="en-GB"/>
        </w:rPr>
      </w:pPr>
      <w:hyperlink w:anchor="_Toc205194789" w:history="1">
        <w:r w:rsidRPr="0046143E">
          <w:rPr>
            <w:rStyle w:val="Hyperlink"/>
            <w:noProof/>
          </w:rPr>
          <w:t>Section 1.1: Who is being targeted?</w:t>
        </w:r>
        <w:r>
          <w:rPr>
            <w:noProof/>
            <w:webHidden/>
          </w:rPr>
          <w:tab/>
        </w:r>
        <w:r>
          <w:rPr>
            <w:noProof/>
            <w:webHidden/>
          </w:rPr>
          <w:fldChar w:fldCharType="begin"/>
        </w:r>
        <w:r>
          <w:rPr>
            <w:noProof/>
            <w:webHidden/>
          </w:rPr>
          <w:instrText xml:space="preserve"> PAGEREF _Toc205194789 \h </w:instrText>
        </w:r>
        <w:r>
          <w:rPr>
            <w:noProof/>
            <w:webHidden/>
          </w:rPr>
        </w:r>
        <w:r>
          <w:rPr>
            <w:noProof/>
            <w:webHidden/>
          </w:rPr>
          <w:fldChar w:fldCharType="separate"/>
        </w:r>
        <w:r>
          <w:rPr>
            <w:noProof/>
            <w:webHidden/>
          </w:rPr>
          <w:t>10</w:t>
        </w:r>
        <w:r>
          <w:rPr>
            <w:noProof/>
            <w:webHidden/>
          </w:rPr>
          <w:fldChar w:fldCharType="end"/>
        </w:r>
      </w:hyperlink>
    </w:p>
    <w:p w14:paraId="69EC3FEA" w14:textId="5C59467F" w:rsidR="000B0D2E" w:rsidRDefault="000B0D2E">
      <w:pPr>
        <w:pStyle w:val="TOC2"/>
        <w:tabs>
          <w:tab w:val="right" w:leader="dot" w:pos="10456"/>
        </w:tabs>
        <w:rPr>
          <w:rFonts w:eastAsiaTheme="minorEastAsia"/>
          <w:noProof/>
          <w:lang w:eastAsia="en-GB"/>
        </w:rPr>
      </w:pPr>
      <w:hyperlink w:anchor="_Toc205194790" w:history="1">
        <w:r w:rsidRPr="0046143E">
          <w:rPr>
            <w:rStyle w:val="Hyperlink"/>
            <w:noProof/>
          </w:rPr>
          <w:t>Section 1.2: What is being disclosed?</w:t>
        </w:r>
        <w:r>
          <w:rPr>
            <w:noProof/>
            <w:webHidden/>
          </w:rPr>
          <w:tab/>
        </w:r>
        <w:r>
          <w:rPr>
            <w:noProof/>
            <w:webHidden/>
          </w:rPr>
          <w:fldChar w:fldCharType="begin"/>
        </w:r>
        <w:r>
          <w:rPr>
            <w:noProof/>
            <w:webHidden/>
          </w:rPr>
          <w:instrText xml:space="preserve"> PAGEREF _Toc205194790 \h </w:instrText>
        </w:r>
        <w:r>
          <w:rPr>
            <w:noProof/>
            <w:webHidden/>
          </w:rPr>
        </w:r>
        <w:r>
          <w:rPr>
            <w:noProof/>
            <w:webHidden/>
          </w:rPr>
          <w:fldChar w:fldCharType="separate"/>
        </w:r>
        <w:r>
          <w:rPr>
            <w:noProof/>
            <w:webHidden/>
          </w:rPr>
          <w:t>15</w:t>
        </w:r>
        <w:r>
          <w:rPr>
            <w:noProof/>
            <w:webHidden/>
          </w:rPr>
          <w:fldChar w:fldCharType="end"/>
        </w:r>
      </w:hyperlink>
    </w:p>
    <w:p w14:paraId="275CE9DF" w14:textId="5A59C8CC" w:rsidR="000B0D2E" w:rsidRDefault="000B0D2E">
      <w:pPr>
        <w:pStyle w:val="TOC2"/>
        <w:tabs>
          <w:tab w:val="right" w:leader="dot" w:pos="10456"/>
        </w:tabs>
        <w:rPr>
          <w:rFonts w:eastAsiaTheme="minorEastAsia"/>
          <w:noProof/>
          <w:lang w:eastAsia="en-GB"/>
        </w:rPr>
      </w:pPr>
      <w:hyperlink w:anchor="_Toc205194791" w:history="1">
        <w:r w:rsidRPr="0046143E">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_Toc205194791 \h </w:instrText>
        </w:r>
        <w:r>
          <w:rPr>
            <w:noProof/>
            <w:webHidden/>
          </w:rPr>
        </w:r>
        <w:r>
          <w:rPr>
            <w:noProof/>
            <w:webHidden/>
          </w:rPr>
          <w:fldChar w:fldCharType="separate"/>
        </w:r>
        <w:r>
          <w:rPr>
            <w:noProof/>
            <w:webHidden/>
          </w:rPr>
          <w:t>27</w:t>
        </w:r>
        <w:r>
          <w:rPr>
            <w:noProof/>
            <w:webHidden/>
          </w:rPr>
          <w:fldChar w:fldCharType="end"/>
        </w:r>
      </w:hyperlink>
    </w:p>
    <w:p w14:paraId="3284DF23" w14:textId="5C4CEAF7" w:rsidR="000B0D2E" w:rsidRDefault="000B0D2E">
      <w:pPr>
        <w:pStyle w:val="TOC1"/>
        <w:tabs>
          <w:tab w:val="right" w:leader="dot" w:pos="10456"/>
        </w:tabs>
        <w:rPr>
          <w:rFonts w:eastAsiaTheme="minorEastAsia"/>
          <w:noProof/>
          <w:lang w:eastAsia="en-GB"/>
        </w:rPr>
      </w:pPr>
      <w:hyperlink w:anchor="_Toc205194792" w:history="1">
        <w:r w:rsidRPr="0046143E">
          <w:rPr>
            <w:rStyle w:val="Hyperlink"/>
            <w:noProof/>
          </w:rPr>
          <w:t>Domain 2: Transition Planning</w:t>
        </w:r>
        <w:r>
          <w:rPr>
            <w:noProof/>
            <w:webHidden/>
          </w:rPr>
          <w:tab/>
        </w:r>
        <w:r>
          <w:rPr>
            <w:noProof/>
            <w:webHidden/>
          </w:rPr>
          <w:fldChar w:fldCharType="begin"/>
        </w:r>
        <w:r>
          <w:rPr>
            <w:noProof/>
            <w:webHidden/>
          </w:rPr>
          <w:instrText xml:space="preserve"> PAGEREF _Toc205194792 \h </w:instrText>
        </w:r>
        <w:r>
          <w:rPr>
            <w:noProof/>
            <w:webHidden/>
          </w:rPr>
        </w:r>
        <w:r>
          <w:rPr>
            <w:noProof/>
            <w:webHidden/>
          </w:rPr>
          <w:fldChar w:fldCharType="separate"/>
        </w:r>
        <w:r>
          <w:rPr>
            <w:noProof/>
            <w:webHidden/>
          </w:rPr>
          <w:t>29</w:t>
        </w:r>
        <w:r>
          <w:rPr>
            <w:noProof/>
            <w:webHidden/>
          </w:rPr>
          <w:fldChar w:fldCharType="end"/>
        </w:r>
      </w:hyperlink>
    </w:p>
    <w:p w14:paraId="2E71145D" w14:textId="3DEE0AC6" w:rsidR="000B0D2E" w:rsidRDefault="000B0D2E">
      <w:pPr>
        <w:pStyle w:val="TOC2"/>
        <w:tabs>
          <w:tab w:val="right" w:leader="dot" w:pos="10456"/>
        </w:tabs>
        <w:rPr>
          <w:rFonts w:eastAsiaTheme="minorEastAsia"/>
          <w:noProof/>
          <w:lang w:eastAsia="en-GB"/>
        </w:rPr>
      </w:pPr>
      <w:hyperlink w:anchor="_Toc205194793" w:history="1">
        <w:r w:rsidRPr="0046143E">
          <w:rPr>
            <w:rStyle w:val="Hyperlink"/>
            <w:noProof/>
          </w:rPr>
          <w:t>Section 2.1: Who is being targeted?</w:t>
        </w:r>
        <w:r>
          <w:rPr>
            <w:noProof/>
            <w:webHidden/>
          </w:rPr>
          <w:tab/>
        </w:r>
        <w:r>
          <w:rPr>
            <w:noProof/>
            <w:webHidden/>
          </w:rPr>
          <w:fldChar w:fldCharType="begin"/>
        </w:r>
        <w:r>
          <w:rPr>
            <w:noProof/>
            <w:webHidden/>
          </w:rPr>
          <w:instrText xml:space="preserve"> PAGEREF _Toc205194793 \h </w:instrText>
        </w:r>
        <w:r>
          <w:rPr>
            <w:noProof/>
            <w:webHidden/>
          </w:rPr>
        </w:r>
        <w:r>
          <w:rPr>
            <w:noProof/>
            <w:webHidden/>
          </w:rPr>
          <w:fldChar w:fldCharType="separate"/>
        </w:r>
        <w:r>
          <w:rPr>
            <w:noProof/>
            <w:webHidden/>
          </w:rPr>
          <w:t>29</w:t>
        </w:r>
        <w:r>
          <w:rPr>
            <w:noProof/>
            <w:webHidden/>
          </w:rPr>
          <w:fldChar w:fldCharType="end"/>
        </w:r>
      </w:hyperlink>
    </w:p>
    <w:p w14:paraId="4326F4AC" w14:textId="1E7FACC6" w:rsidR="000B0D2E" w:rsidRDefault="000B0D2E">
      <w:pPr>
        <w:pStyle w:val="TOC2"/>
        <w:tabs>
          <w:tab w:val="right" w:leader="dot" w:pos="10456"/>
        </w:tabs>
        <w:rPr>
          <w:rFonts w:eastAsiaTheme="minorEastAsia"/>
          <w:noProof/>
          <w:lang w:eastAsia="en-GB"/>
        </w:rPr>
      </w:pPr>
      <w:hyperlink w:anchor="_Toc205194794" w:history="1">
        <w:r w:rsidRPr="0046143E">
          <w:rPr>
            <w:rStyle w:val="Hyperlink"/>
            <w:noProof/>
          </w:rPr>
          <w:t>Section 2.2: Disclosure of Plans and Targets</w:t>
        </w:r>
        <w:r>
          <w:rPr>
            <w:noProof/>
            <w:webHidden/>
          </w:rPr>
          <w:tab/>
        </w:r>
        <w:r>
          <w:rPr>
            <w:noProof/>
            <w:webHidden/>
          </w:rPr>
          <w:fldChar w:fldCharType="begin"/>
        </w:r>
        <w:r>
          <w:rPr>
            <w:noProof/>
            <w:webHidden/>
          </w:rPr>
          <w:instrText xml:space="preserve"> PAGEREF _Toc205194794 \h </w:instrText>
        </w:r>
        <w:r>
          <w:rPr>
            <w:noProof/>
            <w:webHidden/>
          </w:rPr>
        </w:r>
        <w:r>
          <w:rPr>
            <w:noProof/>
            <w:webHidden/>
          </w:rPr>
          <w:fldChar w:fldCharType="separate"/>
        </w:r>
        <w:r>
          <w:rPr>
            <w:noProof/>
            <w:webHidden/>
          </w:rPr>
          <w:t>34</w:t>
        </w:r>
        <w:r>
          <w:rPr>
            <w:noProof/>
            <w:webHidden/>
          </w:rPr>
          <w:fldChar w:fldCharType="end"/>
        </w:r>
      </w:hyperlink>
    </w:p>
    <w:p w14:paraId="48854FDD" w14:textId="4CBAEC1B" w:rsidR="000B0D2E" w:rsidRDefault="000B0D2E">
      <w:pPr>
        <w:pStyle w:val="TOC2"/>
        <w:tabs>
          <w:tab w:val="right" w:leader="dot" w:pos="10456"/>
        </w:tabs>
        <w:rPr>
          <w:rFonts w:eastAsiaTheme="minorEastAsia"/>
          <w:noProof/>
          <w:lang w:eastAsia="en-GB"/>
        </w:rPr>
      </w:pPr>
      <w:hyperlink w:anchor="_Toc205194795" w:history="1">
        <w:r w:rsidRPr="0046143E">
          <w:rPr>
            <w:rStyle w:val="Hyperlink"/>
            <w:noProof/>
          </w:rPr>
          <w:t>Section 2.3: Target Setting</w:t>
        </w:r>
        <w:r>
          <w:rPr>
            <w:noProof/>
            <w:webHidden/>
          </w:rPr>
          <w:tab/>
        </w:r>
        <w:r>
          <w:rPr>
            <w:noProof/>
            <w:webHidden/>
          </w:rPr>
          <w:fldChar w:fldCharType="begin"/>
        </w:r>
        <w:r>
          <w:rPr>
            <w:noProof/>
            <w:webHidden/>
          </w:rPr>
          <w:instrText xml:space="preserve"> PAGEREF _Toc205194795 \h </w:instrText>
        </w:r>
        <w:r>
          <w:rPr>
            <w:noProof/>
            <w:webHidden/>
          </w:rPr>
        </w:r>
        <w:r>
          <w:rPr>
            <w:noProof/>
            <w:webHidden/>
          </w:rPr>
          <w:fldChar w:fldCharType="separate"/>
        </w:r>
        <w:r>
          <w:rPr>
            <w:noProof/>
            <w:webHidden/>
          </w:rPr>
          <w:t>34</w:t>
        </w:r>
        <w:r>
          <w:rPr>
            <w:noProof/>
            <w:webHidden/>
          </w:rPr>
          <w:fldChar w:fldCharType="end"/>
        </w:r>
      </w:hyperlink>
    </w:p>
    <w:p w14:paraId="3D55A1E9" w14:textId="478AD4DA" w:rsidR="000B0D2E" w:rsidRDefault="000B0D2E">
      <w:pPr>
        <w:pStyle w:val="TOC2"/>
        <w:tabs>
          <w:tab w:val="right" w:leader="dot" w:pos="10456"/>
        </w:tabs>
        <w:rPr>
          <w:rFonts w:eastAsiaTheme="minorEastAsia"/>
          <w:noProof/>
          <w:lang w:eastAsia="en-GB"/>
        </w:rPr>
      </w:pPr>
      <w:hyperlink w:anchor="_Toc205194796" w:history="1">
        <w:r w:rsidRPr="0046143E">
          <w:rPr>
            <w:rStyle w:val="Hyperlink"/>
            <w:noProof/>
          </w:rPr>
          <w:t>Section 2.4: GHG Emissions Reductions Targets</w:t>
        </w:r>
        <w:r>
          <w:rPr>
            <w:noProof/>
            <w:webHidden/>
          </w:rPr>
          <w:tab/>
        </w:r>
        <w:r>
          <w:rPr>
            <w:noProof/>
            <w:webHidden/>
          </w:rPr>
          <w:fldChar w:fldCharType="begin"/>
        </w:r>
        <w:r>
          <w:rPr>
            <w:noProof/>
            <w:webHidden/>
          </w:rPr>
          <w:instrText xml:space="preserve"> PAGEREF _Toc205194796 \h </w:instrText>
        </w:r>
        <w:r>
          <w:rPr>
            <w:noProof/>
            <w:webHidden/>
          </w:rPr>
        </w:r>
        <w:r>
          <w:rPr>
            <w:noProof/>
            <w:webHidden/>
          </w:rPr>
          <w:fldChar w:fldCharType="separate"/>
        </w:r>
        <w:r>
          <w:rPr>
            <w:noProof/>
            <w:webHidden/>
          </w:rPr>
          <w:t>35</w:t>
        </w:r>
        <w:r>
          <w:rPr>
            <w:noProof/>
            <w:webHidden/>
          </w:rPr>
          <w:fldChar w:fldCharType="end"/>
        </w:r>
      </w:hyperlink>
    </w:p>
    <w:p w14:paraId="19312C35" w14:textId="14835CCE" w:rsidR="000B0D2E" w:rsidRDefault="000B0D2E">
      <w:pPr>
        <w:pStyle w:val="TOC2"/>
        <w:tabs>
          <w:tab w:val="right" w:leader="dot" w:pos="10456"/>
        </w:tabs>
        <w:rPr>
          <w:rFonts w:eastAsiaTheme="minorEastAsia"/>
          <w:noProof/>
          <w:lang w:eastAsia="en-GB"/>
        </w:rPr>
      </w:pPr>
      <w:hyperlink w:anchor="_Toc205194797" w:history="1">
        <w:r w:rsidRPr="0046143E">
          <w:rPr>
            <w:rStyle w:val="Hyperlink"/>
            <w:noProof/>
          </w:rPr>
          <w:t>Section 2.5: Transition Planning</w:t>
        </w:r>
        <w:r>
          <w:rPr>
            <w:noProof/>
            <w:webHidden/>
          </w:rPr>
          <w:tab/>
        </w:r>
        <w:r>
          <w:rPr>
            <w:noProof/>
            <w:webHidden/>
          </w:rPr>
          <w:fldChar w:fldCharType="begin"/>
        </w:r>
        <w:r>
          <w:rPr>
            <w:noProof/>
            <w:webHidden/>
          </w:rPr>
          <w:instrText xml:space="preserve"> PAGEREF _Toc205194797 \h </w:instrText>
        </w:r>
        <w:r>
          <w:rPr>
            <w:noProof/>
            <w:webHidden/>
          </w:rPr>
        </w:r>
        <w:r>
          <w:rPr>
            <w:noProof/>
            <w:webHidden/>
          </w:rPr>
          <w:fldChar w:fldCharType="separate"/>
        </w:r>
        <w:r>
          <w:rPr>
            <w:noProof/>
            <w:webHidden/>
          </w:rPr>
          <w:t>38</w:t>
        </w:r>
        <w:r>
          <w:rPr>
            <w:noProof/>
            <w:webHidden/>
          </w:rPr>
          <w:fldChar w:fldCharType="end"/>
        </w:r>
      </w:hyperlink>
    </w:p>
    <w:p w14:paraId="0E79A873" w14:textId="2C2C4EC9" w:rsidR="000B0D2E" w:rsidRDefault="000B0D2E">
      <w:pPr>
        <w:pStyle w:val="TOC2"/>
        <w:tabs>
          <w:tab w:val="right" w:leader="dot" w:pos="10456"/>
        </w:tabs>
        <w:rPr>
          <w:rFonts w:eastAsiaTheme="minorEastAsia"/>
          <w:noProof/>
          <w:lang w:eastAsia="en-GB"/>
        </w:rPr>
      </w:pPr>
      <w:hyperlink w:anchor="_Toc205194798" w:history="1">
        <w:r w:rsidRPr="0046143E">
          <w:rPr>
            <w:rStyle w:val="Hyperlink"/>
            <w:noProof/>
          </w:rPr>
          <w:t>Section 2.6: Standards and Frameworks</w:t>
        </w:r>
        <w:r>
          <w:rPr>
            <w:noProof/>
            <w:webHidden/>
          </w:rPr>
          <w:tab/>
        </w:r>
        <w:r>
          <w:rPr>
            <w:noProof/>
            <w:webHidden/>
          </w:rPr>
          <w:fldChar w:fldCharType="begin"/>
        </w:r>
        <w:r>
          <w:rPr>
            <w:noProof/>
            <w:webHidden/>
          </w:rPr>
          <w:instrText xml:space="preserve"> PAGEREF _Toc205194798 \h </w:instrText>
        </w:r>
        <w:r>
          <w:rPr>
            <w:noProof/>
            <w:webHidden/>
          </w:rPr>
        </w:r>
        <w:r>
          <w:rPr>
            <w:noProof/>
            <w:webHidden/>
          </w:rPr>
          <w:fldChar w:fldCharType="separate"/>
        </w:r>
        <w:r>
          <w:rPr>
            <w:noProof/>
            <w:webHidden/>
          </w:rPr>
          <w:t>40</w:t>
        </w:r>
        <w:r>
          <w:rPr>
            <w:noProof/>
            <w:webHidden/>
          </w:rPr>
          <w:fldChar w:fldCharType="end"/>
        </w:r>
      </w:hyperlink>
    </w:p>
    <w:p w14:paraId="6C400A48" w14:textId="713E1C7D" w:rsidR="000B0D2E" w:rsidRDefault="000B0D2E">
      <w:pPr>
        <w:pStyle w:val="TOC1"/>
        <w:tabs>
          <w:tab w:val="right" w:leader="dot" w:pos="10456"/>
        </w:tabs>
        <w:rPr>
          <w:rFonts w:eastAsiaTheme="minorEastAsia"/>
          <w:noProof/>
          <w:lang w:eastAsia="en-GB"/>
        </w:rPr>
      </w:pPr>
      <w:hyperlink w:anchor="_Toc205194799" w:history="1">
        <w:r w:rsidRPr="0046143E">
          <w:rPr>
            <w:rStyle w:val="Hyperlink"/>
            <w:noProof/>
          </w:rPr>
          <w:t>Domain 3: Public Procurement</w:t>
        </w:r>
        <w:r>
          <w:rPr>
            <w:noProof/>
            <w:webHidden/>
          </w:rPr>
          <w:tab/>
        </w:r>
        <w:r>
          <w:rPr>
            <w:noProof/>
            <w:webHidden/>
          </w:rPr>
          <w:fldChar w:fldCharType="begin"/>
        </w:r>
        <w:r>
          <w:rPr>
            <w:noProof/>
            <w:webHidden/>
          </w:rPr>
          <w:instrText xml:space="preserve"> PAGEREF _Toc205194799 \h </w:instrText>
        </w:r>
        <w:r>
          <w:rPr>
            <w:noProof/>
            <w:webHidden/>
          </w:rPr>
        </w:r>
        <w:r>
          <w:rPr>
            <w:noProof/>
            <w:webHidden/>
          </w:rPr>
          <w:fldChar w:fldCharType="separate"/>
        </w:r>
        <w:r>
          <w:rPr>
            <w:noProof/>
            <w:webHidden/>
          </w:rPr>
          <w:t>42</w:t>
        </w:r>
        <w:r>
          <w:rPr>
            <w:noProof/>
            <w:webHidden/>
          </w:rPr>
          <w:fldChar w:fldCharType="end"/>
        </w:r>
      </w:hyperlink>
    </w:p>
    <w:p w14:paraId="6FD7696F" w14:textId="50792AD6" w:rsidR="000B0D2E" w:rsidRDefault="000B0D2E">
      <w:pPr>
        <w:pStyle w:val="TOC2"/>
        <w:tabs>
          <w:tab w:val="right" w:leader="dot" w:pos="10456"/>
        </w:tabs>
        <w:rPr>
          <w:rFonts w:eastAsiaTheme="minorEastAsia"/>
          <w:noProof/>
          <w:lang w:eastAsia="en-GB"/>
        </w:rPr>
      </w:pPr>
      <w:hyperlink w:anchor="_Toc205194800" w:history="1">
        <w:r w:rsidRPr="0046143E">
          <w:rPr>
            <w:rStyle w:val="Hyperlink"/>
            <w:noProof/>
          </w:rPr>
          <w:t>Section 3.1: Who is being targeted?</w:t>
        </w:r>
        <w:r>
          <w:rPr>
            <w:noProof/>
            <w:webHidden/>
          </w:rPr>
          <w:tab/>
        </w:r>
        <w:r>
          <w:rPr>
            <w:noProof/>
            <w:webHidden/>
          </w:rPr>
          <w:fldChar w:fldCharType="begin"/>
        </w:r>
        <w:r>
          <w:rPr>
            <w:noProof/>
            <w:webHidden/>
          </w:rPr>
          <w:instrText xml:space="preserve"> PAGEREF _Toc205194800 \h </w:instrText>
        </w:r>
        <w:r>
          <w:rPr>
            <w:noProof/>
            <w:webHidden/>
          </w:rPr>
        </w:r>
        <w:r>
          <w:rPr>
            <w:noProof/>
            <w:webHidden/>
          </w:rPr>
          <w:fldChar w:fldCharType="separate"/>
        </w:r>
        <w:r>
          <w:rPr>
            <w:noProof/>
            <w:webHidden/>
          </w:rPr>
          <w:t>42</w:t>
        </w:r>
        <w:r>
          <w:rPr>
            <w:noProof/>
            <w:webHidden/>
          </w:rPr>
          <w:fldChar w:fldCharType="end"/>
        </w:r>
      </w:hyperlink>
    </w:p>
    <w:p w14:paraId="35F4BC23" w14:textId="22011632" w:rsidR="000B0D2E" w:rsidRDefault="000B0D2E">
      <w:pPr>
        <w:pStyle w:val="TOC2"/>
        <w:tabs>
          <w:tab w:val="right" w:leader="dot" w:pos="10456"/>
        </w:tabs>
        <w:rPr>
          <w:rFonts w:eastAsiaTheme="minorEastAsia"/>
          <w:noProof/>
          <w:lang w:eastAsia="en-GB"/>
        </w:rPr>
      </w:pPr>
      <w:hyperlink w:anchor="_Toc205194801" w:history="1">
        <w:r w:rsidRPr="0046143E">
          <w:rPr>
            <w:rStyle w:val="Hyperlink"/>
            <w:noProof/>
          </w:rPr>
          <w:t>Section 3.2: Procurement Cycle</w:t>
        </w:r>
        <w:r>
          <w:rPr>
            <w:noProof/>
            <w:webHidden/>
          </w:rPr>
          <w:tab/>
        </w:r>
        <w:r>
          <w:rPr>
            <w:noProof/>
            <w:webHidden/>
          </w:rPr>
          <w:fldChar w:fldCharType="begin"/>
        </w:r>
        <w:r>
          <w:rPr>
            <w:noProof/>
            <w:webHidden/>
          </w:rPr>
          <w:instrText xml:space="preserve"> PAGEREF _Toc205194801 \h </w:instrText>
        </w:r>
        <w:r>
          <w:rPr>
            <w:noProof/>
            <w:webHidden/>
          </w:rPr>
        </w:r>
        <w:r>
          <w:rPr>
            <w:noProof/>
            <w:webHidden/>
          </w:rPr>
          <w:fldChar w:fldCharType="separate"/>
        </w:r>
        <w:r>
          <w:rPr>
            <w:noProof/>
            <w:webHidden/>
          </w:rPr>
          <w:t>47</w:t>
        </w:r>
        <w:r>
          <w:rPr>
            <w:noProof/>
            <w:webHidden/>
          </w:rPr>
          <w:fldChar w:fldCharType="end"/>
        </w:r>
      </w:hyperlink>
    </w:p>
    <w:p w14:paraId="08E26B73" w14:textId="5C54E72D" w:rsidR="000B0D2E" w:rsidRDefault="000B0D2E">
      <w:pPr>
        <w:pStyle w:val="TOC2"/>
        <w:tabs>
          <w:tab w:val="right" w:leader="dot" w:pos="10456"/>
        </w:tabs>
        <w:rPr>
          <w:rFonts w:eastAsiaTheme="minorEastAsia"/>
          <w:noProof/>
          <w:lang w:eastAsia="en-GB"/>
        </w:rPr>
      </w:pPr>
      <w:hyperlink w:anchor="_Toc205194802" w:history="1">
        <w:r w:rsidRPr="0046143E">
          <w:rPr>
            <w:rStyle w:val="Hyperlink"/>
            <w:noProof/>
          </w:rPr>
          <w:t>Section 3.3: Life-cycle or Whole-life Costing</w:t>
        </w:r>
        <w:r>
          <w:rPr>
            <w:noProof/>
            <w:webHidden/>
          </w:rPr>
          <w:tab/>
        </w:r>
        <w:r>
          <w:rPr>
            <w:noProof/>
            <w:webHidden/>
          </w:rPr>
          <w:fldChar w:fldCharType="begin"/>
        </w:r>
        <w:r>
          <w:rPr>
            <w:noProof/>
            <w:webHidden/>
          </w:rPr>
          <w:instrText xml:space="preserve"> PAGEREF _Toc205194802 \h </w:instrText>
        </w:r>
        <w:r>
          <w:rPr>
            <w:noProof/>
            <w:webHidden/>
          </w:rPr>
        </w:r>
        <w:r>
          <w:rPr>
            <w:noProof/>
            <w:webHidden/>
          </w:rPr>
          <w:fldChar w:fldCharType="separate"/>
        </w:r>
        <w:r>
          <w:rPr>
            <w:noProof/>
            <w:webHidden/>
          </w:rPr>
          <w:t>50</w:t>
        </w:r>
        <w:r>
          <w:rPr>
            <w:noProof/>
            <w:webHidden/>
          </w:rPr>
          <w:fldChar w:fldCharType="end"/>
        </w:r>
      </w:hyperlink>
    </w:p>
    <w:p w14:paraId="7140E15B" w14:textId="649CA491" w:rsidR="000B0D2E" w:rsidRDefault="000B0D2E">
      <w:pPr>
        <w:pStyle w:val="TOC2"/>
        <w:tabs>
          <w:tab w:val="right" w:leader="dot" w:pos="10456"/>
        </w:tabs>
        <w:rPr>
          <w:rFonts w:eastAsiaTheme="minorEastAsia"/>
          <w:noProof/>
          <w:lang w:eastAsia="en-GB"/>
        </w:rPr>
      </w:pPr>
      <w:hyperlink w:anchor="_Toc205194803" w:history="1">
        <w:r w:rsidRPr="0046143E">
          <w:rPr>
            <w:rStyle w:val="Hyperlink"/>
            <w:noProof/>
          </w:rPr>
          <w:t>Section 3.4: Tendering or Solicitation Stage</w:t>
        </w:r>
        <w:r>
          <w:rPr>
            <w:noProof/>
            <w:webHidden/>
          </w:rPr>
          <w:tab/>
        </w:r>
        <w:r>
          <w:rPr>
            <w:noProof/>
            <w:webHidden/>
          </w:rPr>
          <w:fldChar w:fldCharType="begin"/>
        </w:r>
        <w:r>
          <w:rPr>
            <w:noProof/>
            <w:webHidden/>
          </w:rPr>
          <w:instrText xml:space="preserve"> PAGEREF _Toc205194803 \h </w:instrText>
        </w:r>
        <w:r>
          <w:rPr>
            <w:noProof/>
            <w:webHidden/>
          </w:rPr>
        </w:r>
        <w:r>
          <w:rPr>
            <w:noProof/>
            <w:webHidden/>
          </w:rPr>
          <w:fldChar w:fldCharType="separate"/>
        </w:r>
        <w:r>
          <w:rPr>
            <w:noProof/>
            <w:webHidden/>
          </w:rPr>
          <w:t>51</w:t>
        </w:r>
        <w:r>
          <w:rPr>
            <w:noProof/>
            <w:webHidden/>
          </w:rPr>
          <w:fldChar w:fldCharType="end"/>
        </w:r>
      </w:hyperlink>
    </w:p>
    <w:p w14:paraId="6112644E" w14:textId="1BAFFF7C" w:rsidR="000B0D2E" w:rsidRDefault="000B0D2E">
      <w:pPr>
        <w:pStyle w:val="TOC2"/>
        <w:tabs>
          <w:tab w:val="right" w:leader="dot" w:pos="10456"/>
        </w:tabs>
        <w:rPr>
          <w:rFonts w:eastAsiaTheme="minorEastAsia"/>
          <w:noProof/>
          <w:lang w:eastAsia="en-GB"/>
        </w:rPr>
      </w:pPr>
      <w:hyperlink w:anchor="_Toc205194804" w:history="1">
        <w:r w:rsidRPr="0046143E">
          <w:rPr>
            <w:rStyle w:val="Hyperlink"/>
            <w:noProof/>
          </w:rPr>
          <w:t>Section 3.5: Exclusion or Debarment Grounds</w:t>
        </w:r>
        <w:r>
          <w:rPr>
            <w:noProof/>
            <w:webHidden/>
          </w:rPr>
          <w:tab/>
        </w:r>
        <w:r>
          <w:rPr>
            <w:noProof/>
            <w:webHidden/>
          </w:rPr>
          <w:fldChar w:fldCharType="begin"/>
        </w:r>
        <w:r>
          <w:rPr>
            <w:noProof/>
            <w:webHidden/>
          </w:rPr>
          <w:instrText xml:space="preserve"> PAGEREF _Toc205194804 \h </w:instrText>
        </w:r>
        <w:r>
          <w:rPr>
            <w:noProof/>
            <w:webHidden/>
          </w:rPr>
        </w:r>
        <w:r>
          <w:rPr>
            <w:noProof/>
            <w:webHidden/>
          </w:rPr>
          <w:fldChar w:fldCharType="separate"/>
        </w:r>
        <w:r>
          <w:rPr>
            <w:noProof/>
            <w:webHidden/>
          </w:rPr>
          <w:t>52</w:t>
        </w:r>
        <w:r>
          <w:rPr>
            <w:noProof/>
            <w:webHidden/>
          </w:rPr>
          <w:fldChar w:fldCharType="end"/>
        </w:r>
      </w:hyperlink>
    </w:p>
    <w:p w14:paraId="199EF51B" w14:textId="0B3DDBB6" w:rsidR="000B0D2E" w:rsidRDefault="000B0D2E">
      <w:pPr>
        <w:pStyle w:val="TOC2"/>
        <w:tabs>
          <w:tab w:val="right" w:leader="dot" w:pos="10456"/>
        </w:tabs>
        <w:rPr>
          <w:rFonts w:eastAsiaTheme="minorEastAsia"/>
          <w:noProof/>
          <w:lang w:eastAsia="en-GB"/>
        </w:rPr>
      </w:pPr>
      <w:hyperlink w:anchor="_Toc205194805" w:history="1">
        <w:r w:rsidRPr="0046143E">
          <w:rPr>
            <w:rStyle w:val="Hyperlink"/>
            <w:noProof/>
          </w:rPr>
          <w:t>Section 3.6: Qualification or Selection Criteria</w:t>
        </w:r>
        <w:r>
          <w:rPr>
            <w:noProof/>
            <w:webHidden/>
          </w:rPr>
          <w:tab/>
        </w:r>
        <w:r>
          <w:rPr>
            <w:noProof/>
            <w:webHidden/>
          </w:rPr>
          <w:fldChar w:fldCharType="begin"/>
        </w:r>
        <w:r>
          <w:rPr>
            <w:noProof/>
            <w:webHidden/>
          </w:rPr>
          <w:instrText xml:space="preserve"> PAGEREF _Toc205194805 \h </w:instrText>
        </w:r>
        <w:r>
          <w:rPr>
            <w:noProof/>
            <w:webHidden/>
          </w:rPr>
        </w:r>
        <w:r>
          <w:rPr>
            <w:noProof/>
            <w:webHidden/>
          </w:rPr>
          <w:fldChar w:fldCharType="separate"/>
        </w:r>
        <w:r>
          <w:rPr>
            <w:noProof/>
            <w:webHidden/>
          </w:rPr>
          <w:t>52</w:t>
        </w:r>
        <w:r>
          <w:rPr>
            <w:noProof/>
            <w:webHidden/>
          </w:rPr>
          <w:fldChar w:fldCharType="end"/>
        </w:r>
      </w:hyperlink>
    </w:p>
    <w:p w14:paraId="022DCE73" w14:textId="4D296682" w:rsidR="000B0D2E" w:rsidRDefault="000B0D2E">
      <w:pPr>
        <w:pStyle w:val="TOC2"/>
        <w:tabs>
          <w:tab w:val="right" w:leader="dot" w:pos="10456"/>
        </w:tabs>
        <w:rPr>
          <w:rFonts w:eastAsiaTheme="minorEastAsia"/>
          <w:noProof/>
          <w:lang w:eastAsia="en-GB"/>
        </w:rPr>
      </w:pPr>
      <w:hyperlink w:anchor="_Toc205194806" w:history="1">
        <w:r w:rsidRPr="0046143E">
          <w:rPr>
            <w:rStyle w:val="Hyperlink"/>
            <w:noProof/>
          </w:rPr>
          <w:t>Section 3.7: Technical specifications</w:t>
        </w:r>
        <w:r>
          <w:rPr>
            <w:noProof/>
            <w:webHidden/>
          </w:rPr>
          <w:tab/>
        </w:r>
        <w:r>
          <w:rPr>
            <w:noProof/>
            <w:webHidden/>
          </w:rPr>
          <w:fldChar w:fldCharType="begin"/>
        </w:r>
        <w:r>
          <w:rPr>
            <w:noProof/>
            <w:webHidden/>
          </w:rPr>
          <w:instrText xml:space="preserve"> PAGEREF _Toc205194806 \h </w:instrText>
        </w:r>
        <w:r>
          <w:rPr>
            <w:noProof/>
            <w:webHidden/>
          </w:rPr>
        </w:r>
        <w:r>
          <w:rPr>
            <w:noProof/>
            <w:webHidden/>
          </w:rPr>
          <w:fldChar w:fldCharType="separate"/>
        </w:r>
        <w:r>
          <w:rPr>
            <w:noProof/>
            <w:webHidden/>
          </w:rPr>
          <w:t>53</w:t>
        </w:r>
        <w:r>
          <w:rPr>
            <w:noProof/>
            <w:webHidden/>
          </w:rPr>
          <w:fldChar w:fldCharType="end"/>
        </w:r>
      </w:hyperlink>
    </w:p>
    <w:p w14:paraId="3255C9C0" w14:textId="02A88FF0" w:rsidR="000B0D2E" w:rsidRDefault="000B0D2E">
      <w:pPr>
        <w:pStyle w:val="TOC2"/>
        <w:tabs>
          <w:tab w:val="right" w:leader="dot" w:pos="10456"/>
        </w:tabs>
        <w:rPr>
          <w:rFonts w:eastAsiaTheme="minorEastAsia"/>
          <w:noProof/>
          <w:lang w:eastAsia="en-GB"/>
        </w:rPr>
      </w:pPr>
      <w:hyperlink w:anchor="_Toc205194807" w:history="1">
        <w:r w:rsidRPr="0046143E">
          <w:rPr>
            <w:rStyle w:val="Hyperlink"/>
            <w:noProof/>
          </w:rPr>
          <w:t>Section 3.8: Contract Performance</w:t>
        </w:r>
        <w:r>
          <w:rPr>
            <w:noProof/>
            <w:webHidden/>
          </w:rPr>
          <w:tab/>
        </w:r>
        <w:r>
          <w:rPr>
            <w:noProof/>
            <w:webHidden/>
          </w:rPr>
          <w:fldChar w:fldCharType="begin"/>
        </w:r>
        <w:r>
          <w:rPr>
            <w:noProof/>
            <w:webHidden/>
          </w:rPr>
          <w:instrText xml:space="preserve"> PAGEREF _Toc205194807 \h </w:instrText>
        </w:r>
        <w:r>
          <w:rPr>
            <w:noProof/>
            <w:webHidden/>
          </w:rPr>
        </w:r>
        <w:r>
          <w:rPr>
            <w:noProof/>
            <w:webHidden/>
          </w:rPr>
          <w:fldChar w:fldCharType="separate"/>
        </w:r>
        <w:r>
          <w:rPr>
            <w:noProof/>
            <w:webHidden/>
          </w:rPr>
          <w:t>54</w:t>
        </w:r>
        <w:r>
          <w:rPr>
            <w:noProof/>
            <w:webHidden/>
          </w:rPr>
          <w:fldChar w:fldCharType="end"/>
        </w:r>
      </w:hyperlink>
    </w:p>
    <w:p w14:paraId="20299888" w14:textId="6D715AA3" w:rsidR="000B0D2E" w:rsidRDefault="000B0D2E">
      <w:pPr>
        <w:pStyle w:val="TOC2"/>
        <w:tabs>
          <w:tab w:val="right" w:leader="dot" w:pos="10456"/>
        </w:tabs>
        <w:rPr>
          <w:rFonts w:eastAsiaTheme="minorEastAsia"/>
          <w:noProof/>
          <w:lang w:eastAsia="en-GB"/>
        </w:rPr>
      </w:pPr>
      <w:hyperlink w:anchor="_Toc205194808" w:history="1">
        <w:r w:rsidRPr="0046143E">
          <w:rPr>
            <w:rStyle w:val="Hyperlink"/>
            <w:noProof/>
          </w:rPr>
          <w:t>Section 3.9: Standards and Frameworks</w:t>
        </w:r>
        <w:r>
          <w:rPr>
            <w:noProof/>
            <w:webHidden/>
          </w:rPr>
          <w:tab/>
        </w:r>
        <w:r>
          <w:rPr>
            <w:noProof/>
            <w:webHidden/>
          </w:rPr>
          <w:fldChar w:fldCharType="begin"/>
        </w:r>
        <w:r>
          <w:rPr>
            <w:noProof/>
            <w:webHidden/>
          </w:rPr>
          <w:instrText xml:space="preserve"> PAGEREF _Toc205194808 \h </w:instrText>
        </w:r>
        <w:r>
          <w:rPr>
            <w:noProof/>
            <w:webHidden/>
          </w:rPr>
        </w:r>
        <w:r>
          <w:rPr>
            <w:noProof/>
            <w:webHidden/>
          </w:rPr>
          <w:fldChar w:fldCharType="separate"/>
        </w:r>
        <w:r>
          <w:rPr>
            <w:noProof/>
            <w:webHidden/>
          </w:rPr>
          <w:t>55</w:t>
        </w:r>
        <w:r>
          <w:rPr>
            <w:noProof/>
            <w:webHidden/>
          </w:rPr>
          <w:fldChar w:fldCharType="end"/>
        </w:r>
      </w:hyperlink>
    </w:p>
    <w:p w14:paraId="76CD5259" w14:textId="47DC8E7C" w:rsidR="000B0D2E" w:rsidRDefault="000B0D2E">
      <w:pPr>
        <w:pStyle w:val="TOC1"/>
        <w:tabs>
          <w:tab w:val="right" w:leader="dot" w:pos="10456"/>
        </w:tabs>
        <w:rPr>
          <w:rFonts w:eastAsiaTheme="minorEastAsia"/>
          <w:noProof/>
          <w:lang w:eastAsia="en-GB"/>
        </w:rPr>
      </w:pPr>
      <w:hyperlink w:anchor="_Toc205194809" w:history="1">
        <w:r w:rsidRPr="0046143E">
          <w:rPr>
            <w:rStyle w:val="Hyperlink"/>
            <w:noProof/>
          </w:rPr>
          <w:t>Domain 4: Carbon Credits</w:t>
        </w:r>
        <w:r>
          <w:rPr>
            <w:noProof/>
            <w:webHidden/>
          </w:rPr>
          <w:tab/>
        </w:r>
        <w:r>
          <w:rPr>
            <w:noProof/>
            <w:webHidden/>
          </w:rPr>
          <w:fldChar w:fldCharType="begin"/>
        </w:r>
        <w:r>
          <w:rPr>
            <w:noProof/>
            <w:webHidden/>
          </w:rPr>
          <w:instrText xml:space="preserve"> PAGEREF _Toc205194809 \h </w:instrText>
        </w:r>
        <w:r>
          <w:rPr>
            <w:noProof/>
            <w:webHidden/>
          </w:rPr>
        </w:r>
        <w:r>
          <w:rPr>
            <w:noProof/>
            <w:webHidden/>
          </w:rPr>
          <w:fldChar w:fldCharType="separate"/>
        </w:r>
        <w:r>
          <w:rPr>
            <w:noProof/>
            <w:webHidden/>
          </w:rPr>
          <w:t>58</w:t>
        </w:r>
        <w:r>
          <w:rPr>
            <w:noProof/>
            <w:webHidden/>
          </w:rPr>
          <w:fldChar w:fldCharType="end"/>
        </w:r>
      </w:hyperlink>
    </w:p>
    <w:p w14:paraId="3DDD2255" w14:textId="53486620" w:rsidR="000B0D2E" w:rsidRDefault="000B0D2E">
      <w:pPr>
        <w:pStyle w:val="TOC2"/>
        <w:tabs>
          <w:tab w:val="right" w:leader="dot" w:pos="10456"/>
        </w:tabs>
        <w:rPr>
          <w:rFonts w:eastAsiaTheme="minorEastAsia"/>
          <w:noProof/>
          <w:lang w:eastAsia="en-GB"/>
        </w:rPr>
      </w:pPr>
      <w:hyperlink w:anchor="_Toc205194810" w:history="1">
        <w:r w:rsidRPr="0046143E">
          <w:rPr>
            <w:rStyle w:val="Hyperlink"/>
            <w:noProof/>
          </w:rPr>
          <w:t>Section 4.1: Who is being targeted?</w:t>
        </w:r>
        <w:r>
          <w:rPr>
            <w:noProof/>
            <w:webHidden/>
          </w:rPr>
          <w:tab/>
        </w:r>
        <w:r>
          <w:rPr>
            <w:noProof/>
            <w:webHidden/>
          </w:rPr>
          <w:fldChar w:fldCharType="begin"/>
        </w:r>
        <w:r>
          <w:rPr>
            <w:noProof/>
            <w:webHidden/>
          </w:rPr>
          <w:instrText xml:space="preserve"> PAGEREF _Toc205194810 \h </w:instrText>
        </w:r>
        <w:r>
          <w:rPr>
            <w:noProof/>
            <w:webHidden/>
          </w:rPr>
        </w:r>
        <w:r>
          <w:rPr>
            <w:noProof/>
            <w:webHidden/>
          </w:rPr>
          <w:fldChar w:fldCharType="separate"/>
        </w:r>
        <w:r>
          <w:rPr>
            <w:noProof/>
            <w:webHidden/>
          </w:rPr>
          <w:t>58</w:t>
        </w:r>
        <w:r>
          <w:rPr>
            <w:noProof/>
            <w:webHidden/>
          </w:rPr>
          <w:fldChar w:fldCharType="end"/>
        </w:r>
      </w:hyperlink>
    </w:p>
    <w:p w14:paraId="677AF669" w14:textId="03F74232" w:rsidR="000B0D2E" w:rsidRDefault="000B0D2E">
      <w:pPr>
        <w:pStyle w:val="TOC2"/>
        <w:tabs>
          <w:tab w:val="right" w:leader="dot" w:pos="10456"/>
        </w:tabs>
        <w:rPr>
          <w:rFonts w:eastAsiaTheme="minorEastAsia"/>
          <w:noProof/>
          <w:lang w:eastAsia="en-GB"/>
        </w:rPr>
      </w:pPr>
      <w:hyperlink w:anchor="_Toc205194811" w:history="1">
        <w:r w:rsidRPr="0046143E">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_Toc205194811 \h </w:instrText>
        </w:r>
        <w:r>
          <w:rPr>
            <w:noProof/>
            <w:webHidden/>
          </w:rPr>
        </w:r>
        <w:r>
          <w:rPr>
            <w:noProof/>
            <w:webHidden/>
          </w:rPr>
          <w:fldChar w:fldCharType="separate"/>
        </w:r>
        <w:r>
          <w:rPr>
            <w:noProof/>
            <w:webHidden/>
          </w:rPr>
          <w:t>63</w:t>
        </w:r>
        <w:r>
          <w:rPr>
            <w:noProof/>
            <w:webHidden/>
          </w:rPr>
          <w:fldChar w:fldCharType="end"/>
        </w:r>
      </w:hyperlink>
    </w:p>
    <w:p w14:paraId="734C0AAF" w14:textId="55C69975" w:rsidR="000B0D2E" w:rsidRDefault="000B0D2E">
      <w:pPr>
        <w:pStyle w:val="TOC2"/>
        <w:tabs>
          <w:tab w:val="right" w:leader="dot" w:pos="10456"/>
        </w:tabs>
        <w:rPr>
          <w:rFonts w:eastAsiaTheme="minorEastAsia"/>
          <w:noProof/>
          <w:lang w:eastAsia="en-GB"/>
        </w:rPr>
      </w:pPr>
      <w:hyperlink w:anchor="_Toc205194812" w:history="1">
        <w:r w:rsidRPr="0046143E">
          <w:rPr>
            <w:rStyle w:val="Hyperlink"/>
            <w:noProof/>
          </w:rPr>
          <w:t>Section 4.3: Governance of Carbon Credits</w:t>
        </w:r>
        <w:r>
          <w:rPr>
            <w:noProof/>
            <w:webHidden/>
          </w:rPr>
          <w:tab/>
        </w:r>
        <w:r>
          <w:rPr>
            <w:noProof/>
            <w:webHidden/>
          </w:rPr>
          <w:fldChar w:fldCharType="begin"/>
        </w:r>
        <w:r>
          <w:rPr>
            <w:noProof/>
            <w:webHidden/>
          </w:rPr>
          <w:instrText xml:space="preserve"> PAGEREF _Toc205194812 \h </w:instrText>
        </w:r>
        <w:r>
          <w:rPr>
            <w:noProof/>
            <w:webHidden/>
          </w:rPr>
        </w:r>
        <w:r>
          <w:rPr>
            <w:noProof/>
            <w:webHidden/>
          </w:rPr>
          <w:fldChar w:fldCharType="separate"/>
        </w:r>
        <w:r>
          <w:rPr>
            <w:noProof/>
            <w:webHidden/>
          </w:rPr>
          <w:t>64</w:t>
        </w:r>
        <w:r>
          <w:rPr>
            <w:noProof/>
            <w:webHidden/>
          </w:rPr>
          <w:fldChar w:fldCharType="end"/>
        </w:r>
      </w:hyperlink>
    </w:p>
    <w:p w14:paraId="4742D508" w14:textId="1A0DD48D" w:rsidR="000B0D2E" w:rsidRDefault="000B0D2E">
      <w:pPr>
        <w:pStyle w:val="TOC2"/>
        <w:tabs>
          <w:tab w:val="right" w:leader="dot" w:pos="10456"/>
        </w:tabs>
        <w:rPr>
          <w:rFonts w:eastAsiaTheme="minorEastAsia"/>
          <w:noProof/>
          <w:lang w:eastAsia="en-GB"/>
        </w:rPr>
      </w:pPr>
      <w:hyperlink w:anchor="_Toc205194813" w:history="1">
        <w:r w:rsidRPr="0046143E">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_Toc205194813 \h </w:instrText>
        </w:r>
        <w:r>
          <w:rPr>
            <w:noProof/>
            <w:webHidden/>
          </w:rPr>
        </w:r>
        <w:r>
          <w:rPr>
            <w:noProof/>
            <w:webHidden/>
          </w:rPr>
          <w:fldChar w:fldCharType="separate"/>
        </w:r>
        <w:r>
          <w:rPr>
            <w:noProof/>
            <w:webHidden/>
          </w:rPr>
          <w:t>68</w:t>
        </w:r>
        <w:r>
          <w:rPr>
            <w:noProof/>
            <w:webHidden/>
          </w:rPr>
          <w:fldChar w:fldCharType="end"/>
        </w:r>
      </w:hyperlink>
    </w:p>
    <w:p w14:paraId="69F37EAD" w14:textId="563CEF2D" w:rsidR="000B0D2E" w:rsidRDefault="000B0D2E">
      <w:pPr>
        <w:pStyle w:val="TOC3"/>
        <w:tabs>
          <w:tab w:val="right" w:leader="dot" w:pos="10456"/>
        </w:tabs>
        <w:rPr>
          <w:rFonts w:eastAsiaTheme="minorEastAsia"/>
          <w:noProof/>
          <w:lang w:eastAsia="en-GB"/>
        </w:rPr>
      </w:pPr>
      <w:hyperlink w:anchor="_Toc205194814" w:history="1">
        <w:r w:rsidRPr="0046143E">
          <w:rPr>
            <w:rStyle w:val="Hyperlink"/>
            <w:noProof/>
          </w:rPr>
          <w:t>Section 4.4.1: Criteria for Carbon Credits Generation and/or Eligibility</w:t>
        </w:r>
        <w:r>
          <w:rPr>
            <w:noProof/>
            <w:webHidden/>
          </w:rPr>
          <w:tab/>
        </w:r>
        <w:r>
          <w:rPr>
            <w:noProof/>
            <w:webHidden/>
          </w:rPr>
          <w:fldChar w:fldCharType="begin"/>
        </w:r>
        <w:r>
          <w:rPr>
            <w:noProof/>
            <w:webHidden/>
          </w:rPr>
          <w:instrText xml:space="preserve"> PAGEREF _Toc205194814 \h </w:instrText>
        </w:r>
        <w:r>
          <w:rPr>
            <w:noProof/>
            <w:webHidden/>
          </w:rPr>
        </w:r>
        <w:r>
          <w:rPr>
            <w:noProof/>
            <w:webHidden/>
          </w:rPr>
          <w:fldChar w:fldCharType="separate"/>
        </w:r>
        <w:r>
          <w:rPr>
            <w:noProof/>
            <w:webHidden/>
          </w:rPr>
          <w:t>68</w:t>
        </w:r>
        <w:r>
          <w:rPr>
            <w:noProof/>
            <w:webHidden/>
          </w:rPr>
          <w:fldChar w:fldCharType="end"/>
        </w:r>
      </w:hyperlink>
    </w:p>
    <w:p w14:paraId="3D4FACD5" w14:textId="5E0F9678" w:rsidR="000B0D2E" w:rsidRDefault="000B0D2E">
      <w:pPr>
        <w:pStyle w:val="TOC3"/>
        <w:tabs>
          <w:tab w:val="right" w:leader="dot" w:pos="10456"/>
        </w:tabs>
        <w:rPr>
          <w:rFonts w:eastAsiaTheme="minorEastAsia"/>
          <w:noProof/>
          <w:lang w:eastAsia="en-GB"/>
        </w:rPr>
      </w:pPr>
      <w:hyperlink w:anchor="_Toc205194815" w:history="1">
        <w:r w:rsidRPr="0046143E">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_Toc205194815 \h </w:instrText>
        </w:r>
        <w:r>
          <w:rPr>
            <w:noProof/>
            <w:webHidden/>
          </w:rPr>
        </w:r>
        <w:r>
          <w:rPr>
            <w:noProof/>
            <w:webHidden/>
          </w:rPr>
          <w:fldChar w:fldCharType="separate"/>
        </w:r>
        <w:r>
          <w:rPr>
            <w:noProof/>
            <w:webHidden/>
          </w:rPr>
          <w:t>73</w:t>
        </w:r>
        <w:r>
          <w:rPr>
            <w:noProof/>
            <w:webHidden/>
          </w:rPr>
          <w:fldChar w:fldCharType="end"/>
        </w:r>
      </w:hyperlink>
    </w:p>
    <w:p w14:paraId="34A63621" w14:textId="50C105C9" w:rsidR="000B0D2E" w:rsidRDefault="000B0D2E">
      <w:pPr>
        <w:pStyle w:val="TOC3"/>
        <w:tabs>
          <w:tab w:val="right" w:leader="dot" w:pos="10456"/>
        </w:tabs>
        <w:rPr>
          <w:rFonts w:eastAsiaTheme="minorEastAsia"/>
          <w:noProof/>
          <w:lang w:eastAsia="en-GB"/>
        </w:rPr>
      </w:pPr>
      <w:hyperlink w:anchor="_Toc205194816" w:history="1">
        <w:r w:rsidRPr="0046143E">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_Toc205194816 \h </w:instrText>
        </w:r>
        <w:r>
          <w:rPr>
            <w:noProof/>
            <w:webHidden/>
          </w:rPr>
        </w:r>
        <w:r>
          <w:rPr>
            <w:noProof/>
            <w:webHidden/>
          </w:rPr>
          <w:fldChar w:fldCharType="separate"/>
        </w:r>
        <w:r>
          <w:rPr>
            <w:noProof/>
            <w:webHidden/>
          </w:rPr>
          <w:t>77</w:t>
        </w:r>
        <w:r>
          <w:rPr>
            <w:noProof/>
            <w:webHidden/>
          </w:rPr>
          <w:fldChar w:fldCharType="end"/>
        </w:r>
      </w:hyperlink>
    </w:p>
    <w:p w14:paraId="67776627" w14:textId="7FF9F605" w:rsidR="000B0D2E" w:rsidRDefault="000B0D2E">
      <w:pPr>
        <w:pStyle w:val="TOC3"/>
        <w:tabs>
          <w:tab w:val="right" w:leader="dot" w:pos="10456"/>
        </w:tabs>
        <w:rPr>
          <w:rFonts w:eastAsiaTheme="minorEastAsia"/>
          <w:noProof/>
          <w:lang w:eastAsia="en-GB"/>
        </w:rPr>
      </w:pPr>
      <w:hyperlink w:anchor="_Toc205194817" w:history="1">
        <w:r w:rsidRPr="0046143E">
          <w:rPr>
            <w:rStyle w:val="Hyperlink"/>
            <w:rFonts w:eastAsia="Times New Roman"/>
            <w:noProof/>
            <w:lang w:eastAsia="en-GB"/>
          </w:rPr>
          <w:t xml:space="preserve">Section </w:t>
        </w:r>
        <w:r w:rsidRPr="0046143E">
          <w:rPr>
            <w:rStyle w:val="Hyperlink"/>
            <w:noProof/>
            <w:lang w:eastAsia="en-GB"/>
          </w:rPr>
          <w:t>4</w:t>
        </w:r>
        <w:r w:rsidRPr="0046143E">
          <w:rPr>
            <w:rStyle w:val="Hyperlink"/>
            <w:rFonts w:eastAsia="Times New Roman"/>
            <w:noProof/>
            <w:lang w:eastAsia="en-GB"/>
          </w:rPr>
          <w:t>.4.4: Exchange of Carbon Credits as a Financial Instrument</w:t>
        </w:r>
        <w:r w:rsidRPr="0046143E">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_Toc205194817 \h </w:instrText>
        </w:r>
        <w:r>
          <w:rPr>
            <w:noProof/>
            <w:webHidden/>
          </w:rPr>
        </w:r>
        <w:r>
          <w:rPr>
            <w:noProof/>
            <w:webHidden/>
          </w:rPr>
          <w:fldChar w:fldCharType="separate"/>
        </w:r>
        <w:r>
          <w:rPr>
            <w:noProof/>
            <w:webHidden/>
          </w:rPr>
          <w:t>77</w:t>
        </w:r>
        <w:r>
          <w:rPr>
            <w:noProof/>
            <w:webHidden/>
          </w:rPr>
          <w:fldChar w:fldCharType="end"/>
        </w:r>
      </w:hyperlink>
    </w:p>
    <w:p w14:paraId="6A96E206" w14:textId="06FF9380" w:rsidR="000B0D2E" w:rsidRDefault="000B0D2E">
      <w:pPr>
        <w:pStyle w:val="TOC1"/>
        <w:tabs>
          <w:tab w:val="right" w:leader="dot" w:pos="10456"/>
        </w:tabs>
        <w:rPr>
          <w:rFonts w:eastAsiaTheme="minorEastAsia"/>
          <w:noProof/>
          <w:lang w:eastAsia="en-GB"/>
        </w:rPr>
      </w:pPr>
      <w:hyperlink w:anchor="_Toc205194818" w:history="1">
        <w:r w:rsidRPr="0046143E">
          <w:rPr>
            <w:rStyle w:val="Hyperlink"/>
            <w:noProof/>
          </w:rPr>
          <w:t>Domain 5: Prudential Tools</w:t>
        </w:r>
        <w:r>
          <w:rPr>
            <w:noProof/>
            <w:webHidden/>
          </w:rPr>
          <w:tab/>
        </w:r>
        <w:r>
          <w:rPr>
            <w:noProof/>
            <w:webHidden/>
          </w:rPr>
          <w:fldChar w:fldCharType="begin"/>
        </w:r>
        <w:r>
          <w:rPr>
            <w:noProof/>
            <w:webHidden/>
          </w:rPr>
          <w:instrText xml:space="preserve"> PAGEREF _Toc205194818 \h </w:instrText>
        </w:r>
        <w:r>
          <w:rPr>
            <w:noProof/>
            <w:webHidden/>
          </w:rPr>
        </w:r>
        <w:r>
          <w:rPr>
            <w:noProof/>
            <w:webHidden/>
          </w:rPr>
          <w:fldChar w:fldCharType="separate"/>
        </w:r>
        <w:r>
          <w:rPr>
            <w:noProof/>
            <w:webHidden/>
          </w:rPr>
          <w:t>79</w:t>
        </w:r>
        <w:r>
          <w:rPr>
            <w:noProof/>
            <w:webHidden/>
          </w:rPr>
          <w:fldChar w:fldCharType="end"/>
        </w:r>
      </w:hyperlink>
    </w:p>
    <w:p w14:paraId="3969E3AF" w14:textId="0E8377CB" w:rsidR="000B0D2E" w:rsidRDefault="000B0D2E">
      <w:pPr>
        <w:pStyle w:val="TOC2"/>
        <w:tabs>
          <w:tab w:val="right" w:leader="dot" w:pos="10456"/>
        </w:tabs>
        <w:rPr>
          <w:rFonts w:eastAsiaTheme="minorEastAsia"/>
          <w:noProof/>
          <w:lang w:eastAsia="en-GB"/>
        </w:rPr>
      </w:pPr>
      <w:hyperlink w:anchor="_Toc205194819" w:history="1">
        <w:r w:rsidRPr="0046143E">
          <w:rPr>
            <w:rStyle w:val="Hyperlink"/>
            <w:noProof/>
          </w:rPr>
          <w:t>Section 5.1: Who is being targeted?</w:t>
        </w:r>
        <w:r>
          <w:rPr>
            <w:noProof/>
            <w:webHidden/>
          </w:rPr>
          <w:tab/>
        </w:r>
        <w:r>
          <w:rPr>
            <w:noProof/>
            <w:webHidden/>
          </w:rPr>
          <w:fldChar w:fldCharType="begin"/>
        </w:r>
        <w:r>
          <w:rPr>
            <w:noProof/>
            <w:webHidden/>
          </w:rPr>
          <w:instrText xml:space="preserve"> PAGEREF _Toc205194819 \h </w:instrText>
        </w:r>
        <w:r>
          <w:rPr>
            <w:noProof/>
            <w:webHidden/>
          </w:rPr>
        </w:r>
        <w:r>
          <w:rPr>
            <w:noProof/>
            <w:webHidden/>
          </w:rPr>
          <w:fldChar w:fldCharType="separate"/>
        </w:r>
        <w:r>
          <w:rPr>
            <w:noProof/>
            <w:webHidden/>
          </w:rPr>
          <w:t>79</w:t>
        </w:r>
        <w:r>
          <w:rPr>
            <w:noProof/>
            <w:webHidden/>
          </w:rPr>
          <w:fldChar w:fldCharType="end"/>
        </w:r>
      </w:hyperlink>
    </w:p>
    <w:p w14:paraId="2E5092CE" w14:textId="2021CF37" w:rsidR="000B0D2E" w:rsidRDefault="000B0D2E">
      <w:pPr>
        <w:pStyle w:val="TOC2"/>
        <w:tabs>
          <w:tab w:val="right" w:leader="dot" w:pos="10456"/>
        </w:tabs>
        <w:rPr>
          <w:rFonts w:eastAsiaTheme="minorEastAsia"/>
          <w:noProof/>
          <w:lang w:eastAsia="en-GB"/>
        </w:rPr>
      </w:pPr>
      <w:hyperlink w:anchor="_Toc205194820" w:history="1">
        <w:r w:rsidRPr="0046143E">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_Toc205194820 \h </w:instrText>
        </w:r>
        <w:r>
          <w:rPr>
            <w:noProof/>
            <w:webHidden/>
          </w:rPr>
        </w:r>
        <w:r>
          <w:rPr>
            <w:noProof/>
            <w:webHidden/>
          </w:rPr>
          <w:fldChar w:fldCharType="separate"/>
        </w:r>
        <w:r>
          <w:rPr>
            <w:noProof/>
            <w:webHidden/>
          </w:rPr>
          <w:t>84</w:t>
        </w:r>
        <w:r>
          <w:rPr>
            <w:noProof/>
            <w:webHidden/>
          </w:rPr>
          <w:fldChar w:fldCharType="end"/>
        </w:r>
      </w:hyperlink>
    </w:p>
    <w:p w14:paraId="641CC7B1" w14:textId="2F710795" w:rsidR="000B0D2E" w:rsidRDefault="000B0D2E">
      <w:pPr>
        <w:pStyle w:val="TOC3"/>
        <w:tabs>
          <w:tab w:val="right" w:leader="dot" w:pos="10456"/>
        </w:tabs>
        <w:rPr>
          <w:rFonts w:eastAsiaTheme="minorEastAsia"/>
          <w:noProof/>
          <w:lang w:eastAsia="en-GB"/>
        </w:rPr>
      </w:pPr>
      <w:hyperlink w:anchor="_Toc205194821" w:history="1">
        <w:r w:rsidRPr="0046143E">
          <w:rPr>
            <w:rStyle w:val="Hyperlink"/>
            <w:noProof/>
          </w:rPr>
          <w:t>Section 5.2.1: Risk management and governance</w:t>
        </w:r>
        <w:r>
          <w:rPr>
            <w:noProof/>
            <w:webHidden/>
          </w:rPr>
          <w:tab/>
        </w:r>
        <w:r>
          <w:rPr>
            <w:noProof/>
            <w:webHidden/>
          </w:rPr>
          <w:fldChar w:fldCharType="begin"/>
        </w:r>
        <w:r>
          <w:rPr>
            <w:noProof/>
            <w:webHidden/>
          </w:rPr>
          <w:instrText xml:space="preserve"> PAGEREF _Toc205194821 \h </w:instrText>
        </w:r>
        <w:r>
          <w:rPr>
            <w:noProof/>
            <w:webHidden/>
          </w:rPr>
        </w:r>
        <w:r>
          <w:rPr>
            <w:noProof/>
            <w:webHidden/>
          </w:rPr>
          <w:fldChar w:fldCharType="separate"/>
        </w:r>
        <w:r>
          <w:rPr>
            <w:noProof/>
            <w:webHidden/>
          </w:rPr>
          <w:t>86</w:t>
        </w:r>
        <w:r>
          <w:rPr>
            <w:noProof/>
            <w:webHidden/>
          </w:rPr>
          <w:fldChar w:fldCharType="end"/>
        </w:r>
      </w:hyperlink>
    </w:p>
    <w:p w14:paraId="3F25CFDB" w14:textId="17BF543B" w:rsidR="000B0D2E" w:rsidRDefault="000B0D2E">
      <w:pPr>
        <w:pStyle w:val="TOC3"/>
        <w:tabs>
          <w:tab w:val="right" w:leader="dot" w:pos="10456"/>
        </w:tabs>
        <w:rPr>
          <w:rFonts w:eastAsiaTheme="minorEastAsia"/>
          <w:noProof/>
          <w:lang w:eastAsia="en-GB"/>
        </w:rPr>
      </w:pPr>
      <w:hyperlink w:anchor="_Toc205194822" w:history="1">
        <w:r w:rsidRPr="0046143E">
          <w:rPr>
            <w:rStyle w:val="Hyperlink"/>
            <w:noProof/>
          </w:rPr>
          <w:t>Section 5.2.2: Scenario analysis and stress-testing</w:t>
        </w:r>
        <w:r>
          <w:rPr>
            <w:noProof/>
            <w:webHidden/>
          </w:rPr>
          <w:tab/>
        </w:r>
        <w:r>
          <w:rPr>
            <w:noProof/>
            <w:webHidden/>
          </w:rPr>
          <w:fldChar w:fldCharType="begin"/>
        </w:r>
        <w:r>
          <w:rPr>
            <w:noProof/>
            <w:webHidden/>
          </w:rPr>
          <w:instrText xml:space="preserve"> PAGEREF _Toc205194822 \h </w:instrText>
        </w:r>
        <w:r>
          <w:rPr>
            <w:noProof/>
            <w:webHidden/>
          </w:rPr>
        </w:r>
        <w:r>
          <w:rPr>
            <w:noProof/>
            <w:webHidden/>
          </w:rPr>
          <w:fldChar w:fldCharType="separate"/>
        </w:r>
        <w:r>
          <w:rPr>
            <w:noProof/>
            <w:webHidden/>
          </w:rPr>
          <w:t>88</w:t>
        </w:r>
        <w:r>
          <w:rPr>
            <w:noProof/>
            <w:webHidden/>
          </w:rPr>
          <w:fldChar w:fldCharType="end"/>
        </w:r>
      </w:hyperlink>
    </w:p>
    <w:p w14:paraId="28A3D662" w14:textId="3673F58D" w:rsidR="000B0D2E" w:rsidRDefault="000B0D2E">
      <w:pPr>
        <w:pStyle w:val="TOC3"/>
        <w:tabs>
          <w:tab w:val="right" w:leader="dot" w:pos="10456"/>
        </w:tabs>
        <w:rPr>
          <w:rFonts w:eastAsiaTheme="minorEastAsia"/>
          <w:noProof/>
          <w:lang w:eastAsia="en-GB"/>
        </w:rPr>
      </w:pPr>
      <w:hyperlink w:anchor="_Toc205194823" w:history="1">
        <w:r w:rsidRPr="0046143E">
          <w:rPr>
            <w:rStyle w:val="Hyperlink"/>
            <w:noProof/>
          </w:rPr>
          <w:t>Section 5.2.3: Capital and Liquidity Requirements</w:t>
        </w:r>
        <w:r>
          <w:rPr>
            <w:noProof/>
            <w:webHidden/>
          </w:rPr>
          <w:tab/>
        </w:r>
        <w:r>
          <w:rPr>
            <w:noProof/>
            <w:webHidden/>
          </w:rPr>
          <w:fldChar w:fldCharType="begin"/>
        </w:r>
        <w:r>
          <w:rPr>
            <w:noProof/>
            <w:webHidden/>
          </w:rPr>
          <w:instrText xml:space="preserve"> PAGEREF _Toc205194823 \h </w:instrText>
        </w:r>
        <w:r>
          <w:rPr>
            <w:noProof/>
            <w:webHidden/>
          </w:rPr>
        </w:r>
        <w:r>
          <w:rPr>
            <w:noProof/>
            <w:webHidden/>
          </w:rPr>
          <w:fldChar w:fldCharType="separate"/>
        </w:r>
        <w:r>
          <w:rPr>
            <w:noProof/>
            <w:webHidden/>
          </w:rPr>
          <w:t>91</w:t>
        </w:r>
        <w:r>
          <w:rPr>
            <w:noProof/>
            <w:webHidden/>
          </w:rPr>
          <w:fldChar w:fldCharType="end"/>
        </w:r>
      </w:hyperlink>
    </w:p>
    <w:p w14:paraId="30642E91" w14:textId="27B5B915" w:rsidR="000B0D2E" w:rsidRDefault="000B0D2E">
      <w:pPr>
        <w:pStyle w:val="TOC2"/>
        <w:tabs>
          <w:tab w:val="right" w:leader="dot" w:pos="10456"/>
        </w:tabs>
        <w:rPr>
          <w:rFonts w:eastAsiaTheme="minorEastAsia"/>
          <w:noProof/>
          <w:lang w:eastAsia="en-GB"/>
        </w:rPr>
      </w:pPr>
      <w:hyperlink w:anchor="_Toc205194824" w:history="1">
        <w:r w:rsidRPr="0046143E">
          <w:rPr>
            <w:rStyle w:val="Hyperlink"/>
            <w:noProof/>
          </w:rPr>
          <w:t>Section 5.3: Standards and Frameworks</w:t>
        </w:r>
        <w:r>
          <w:rPr>
            <w:noProof/>
            <w:webHidden/>
          </w:rPr>
          <w:tab/>
        </w:r>
        <w:r>
          <w:rPr>
            <w:noProof/>
            <w:webHidden/>
          </w:rPr>
          <w:fldChar w:fldCharType="begin"/>
        </w:r>
        <w:r>
          <w:rPr>
            <w:noProof/>
            <w:webHidden/>
          </w:rPr>
          <w:instrText xml:space="preserve"> PAGEREF _Toc205194824 \h </w:instrText>
        </w:r>
        <w:r>
          <w:rPr>
            <w:noProof/>
            <w:webHidden/>
          </w:rPr>
        </w:r>
        <w:r>
          <w:rPr>
            <w:noProof/>
            <w:webHidden/>
          </w:rPr>
          <w:fldChar w:fldCharType="separate"/>
        </w:r>
        <w:r>
          <w:rPr>
            <w:noProof/>
            <w:webHidden/>
          </w:rPr>
          <w:t>93</w:t>
        </w:r>
        <w:r>
          <w:rPr>
            <w:noProof/>
            <w:webHidden/>
          </w:rPr>
          <w:fldChar w:fldCharType="end"/>
        </w:r>
      </w:hyperlink>
    </w:p>
    <w:p w14:paraId="0E5B36AA" w14:textId="2DA1560D" w:rsidR="000B0D2E" w:rsidRDefault="000B0D2E">
      <w:pPr>
        <w:pStyle w:val="TOC1"/>
        <w:tabs>
          <w:tab w:val="right" w:leader="dot" w:pos="10456"/>
        </w:tabs>
        <w:rPr>
          <w:rFonts w:eastAsiaTheme="minorEastAsia"/>
          <w:noProof/>
          <w:lang w:eastAsia="en-GB"/>
        </w:rPr>
      </w:pPr>
      <w:hyperlink w:anchor="_Toc205194825" w:history="1">
        <w:r w:rsidRPr="0046143E">
          <w:rPr>
            <w:rStyle w:val="Hyperlink"/>
            <w:noProof/>
          </w:rPr>
          <w:t>Domain 6: Methane Abatement</w:t>
        </w:r>
        <w:r>
          <w:rPr>
            <w:noProof/>
            <w:webHidden/>
          </w:rPr>
          <w:tab/>
        </w:r>
        <w:r>
          <w:rPr>
            <w:noProof/>
            <w:webHidden/>
          </w:rPr>
          <w:fldChar w:fldCharType="begin"/>
        </w:r>
        <w:r>
          <w:rPr>
            <w:noProof/>
            <w:webHidden/>
          </w:rPr>
          <w:instrText xml:space="preserve"> PAGEREF _Toc205194825 \h </w:instrText>
        </w:r>
        <w:r>
          <w:rPr>
            <w:noProof/>
            <w:webHidden/>
          </w:rPr>
        </w:r>
        <w:r>
          <w:rPr>
            <w:noProof/>
            <w:webHidden/>
          </w:rPr>
          <w:fldChar w:fldCharType="separate"/>
        </w:r>
        <w:r>
          <w:rPr>
            <w:noProof/>
            <w:webHidden/>
          </w:rPr>
          <w:t>95</w:t>
        </w:r>
        <w:r>
          <w:rPr>
            <w:noProof/>
            <w:webHidden/>
          </w:rPr>
          <w:fldChar w:fldCharType="end"/>
        </w:r>
      </w:hyperlink>
    </w:p>
    <w:p w14:paraId="5C4CBDE5" w14:textId="3BBE75F2" w:rsidR="000B0D2E" w:rsidRDefault="000B0D2E">
      <w:pPr>
        <w:pStyle w:val="TOC2"/>
        <w:tabs>
          <w:tab w:val="right" w:leader="dot" w:pos="10456"/>
        </w:tabs>
        <w:rPr>
          <w:rFonts w:eastAsiaTheme="minorEastAsia"/>
          <w:noProof/>
          <w:lang w:eastAsia="en-GB"/>
        </w:rPr>
      </w:pPr>
      <w:hyperlink w:anchor="_Toc205194826" w:history="1">
        <w:r w:rsidRPr="0046143E">
          <w:rPr>
            <w:rStyle w:val="Hyperlink"/>
            <w:noProof/>
          </w:rPr>
          <w:t>Section 6.1: Who is being targeted?</w:t>
        </w:r>
        <w:r>
          <w:rPr>
            <w:noProof/>
            <w:webHidden/>
          </w:rPr>
          <w:tab/>
        </w:r>
        <w:r>
          <w:rPr>
            <w:noProof/>
            <w:webHidden/>
          </w:rPr>
          <w:fldChar w:fldCharType="begin"/>
        </w:r>
        <w:r>
          <w:rPr>
            <w:noProof/>
            <w:webHidden/>
          </w:rPr>
          <w:instrText xml:space="preserve"> PAGEREF _Toc205194826 \h </w:instrText>
        </w:r>
        <w:r>
          <w:rPr>
            <w:noProof/>
            <w:webHidden/>
          </w:rPr>
        </w:r>
        <w:r>
          <w:rPr>
            <w:noProof/>
            <w:webHidden/>
          </w:rPr>
          <w:fldChar w:fldCharType="separate"/>
        </w:r>
        <w:r>
          <w:rPr>
            <w:noProof/>
            <w:webHidden/>
          </w:rPr>
          <w:t>95</w:t>
        </w:r>
        <w:r>
          <w:rPr>
            <w:noProof/>
            <w:webHidden/>
          </w:rPr>
          <w:fldChar w:fldCharType="end"/>
        </w:r>
      </w:hyperlink>
    </w:p>
    <w:p w14:paraId="071DE57E" w14:textId="12D77ABE" w:rsidR="000B0D2E" w:rsidRDefault="000B0D2E">
      <w:pPr>
        <w:pStyle w:val="TOC2"/>
        <w:tabs>
          <w:tab w:val="right" w:leader="dot" w:pos="10456"/>
        </w:tabs>
        <w:rPr>
          <w:rFonts w:eastAsiaTheme="minorEastAsia"/>
          <w:noProof/>
          <w:lang w:eastAsia="en-GB"/>
        </w:rPr>
      </w:pPr>
      <w:hyperlink w:anchor="_Toc205194827" w:history="1">
        <w:r w:rsidRPr="0046143E">
          <w:rPr>
            <w:rStyle w:val="Hyperlink"/>
            <w:rFonts w:eastAsia="Arial"/>
            <w:noProof/>
          </w:rPr>
          <w:t>Section 6.2: National targets</w:t>
        </w:r>
        <w:r>
          <w:rPr>
            <w:noProof/>
            <w:webHidden/>
          </w:rPr>
          <w:tab/>
        </w:r>
        <w:r>
          <w:rPr>
            <w:noProof/>
            <w:webHidden/>
          </w:rPr>
          <w:fldChar w:fldCharType="begin"/>
        </w:r>
        <w:r>
          <w:rPr>
            <w:noProof/>
            <w:webHidden/>
          </w:rPr>
          <w:instrText xml:space="preserve"> PAGEREF _Toc205194827 \h </w:instrText>
        </w:r>
        <w:r>
          <w:rPr>
            <w:noProof/>
            <w:webHidden/>
          </w:rPr>
        </w:r>
        <w:r>
          <w:rPr>
            <w:noProof/>
            <w:webHidden/>
          </w:rPr>
          <w:fldChar w:fldCharType="separate"/>
        </w:r>
        <w:r>
          <w:rPr>
            <w:noProof/>
            <w:webHidden/>
          </w:rPr>
          <w:t>99</w:t>
        </w:r>
        <w:r>
          <w:rPr>
            <w:noProof/>
            <w:webHidden/>
          </w:rPr>
          <w:fldChar w:fldCharType="end"/>
        </w:r>
      </w:hyperlink>
    </w:p>
    <w:p w14:paraId="20F9CA73" w14:textId="7D817349" w:rsidR="000B0D2E" w:rsidRDefault="000B0D2E">
      <w:pPr>
        <w:pStyle w:val="TOC2"/>
        <w:tabs>
          <w:tab w:val="right" w:leader="dot" w:pos="10456"/>
        </w:tabs>
        <w:rPr>
          <w:rFonts w:eastAsiaTheme="minorEastAsia"/>
          <w:noProof/>
          <w:lang w:eastAsia="en-GB"/>
        </w:rPr>
      </w:pPr>
      <w:hyperlink w:anchor="_Toc205194828" w:history="1">
        <w:r w:rsidRPr="0046143E">
          <w:rPr>
            <w:rStyle w:val="Hyperlink"/>
            <w:rFonts w:eastAsia="Arial"/>
            <w:noProof/>
          </w:rPr>
          <w:t>Section 6.3: Methane Pricing</w:t>
        </w:r>
        <w:r>
          <w:rPr>
            <w:noProof/>
            <w:webHidden/>
          </w:rPr>
          <w:tab/>
        </w:r>
        <w:r>
          <w:rPr>
            <w:noProof/>
            <w:webHidden/>
          </w:rPr>
          <w:fldChar w:fldCharType="begin"/>
        </w:r>
        <w:r>
          <w:rPr>
            <w:noProof/>
            <w:webHidden/>
          </w:rPr>
          <w:instrText xml:space="preserve"> PAGEREF _Toc205194828 \h </w:instrText>
        </w:r>
        <w:r>
          <w:rPr>
            <w:noProof/>
            <w:webHidden/>
          </w:rPr>
        </w:r>
        <w:r>
          <w:rPr>
            <w:noProof/>
            <w:webHidden/>
          </w:rPr>
          <w:fldChar w:fldCharType="separate"/>
        </w:r>
        <w:r>
          <w:rPr>
            <w:noProof/>
            <w:webHidden/>
          </w:rPr>
          <w:t>102</w:t>
        </w:r>
        <w:r>
          <w:rPr>
            <w:noProof/>
            <w:webHidden/>
          </w:rPr>
          <w:fldChar w:fldCharType="end"/>
        </w:r>
      </w:hyperlink>
    </w:p>
    <w:p w14:paraId="29D84FAE" w14:textId="6BC571C7" w:rsidR="000B0D2E" w:rsidRDefault="000B0D2E">
      <w:pPr>
        <w:pStyle w:val="TOC2"/>
        <w:tabs>
          <w:tab w:val="right" w:leader="dot" w:pos="10456"/>
        </w:tabs>
        <w:rPr>
          <w:rFonts w:eastAsiaTheme="minorEastAsia"/>
          <w:noProof/>
          <w:lang w:eastAsia="en-GB"/>
        </w:rPr>
      </w:pPr>
      <w:hyperlink w:anchor="_Toc205194829" w:history="1">
        <w:r w:rsidRPr="0046143E">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_Toc205194829 \h </w:instrText>
        </w:r>
        <w:r>
          <w:rPr>
            <w:noProof/>
            <w:webHidden/>
          </w:rPr>
        </w:r>
        <w:r>
          <w:rPr>
            <w:noProof/>
            <w:webHidden/>
          </w:rPr>
          <w:fldChar w:fldCharType="separate"/>
        </w:r>
        <w:r>
          <w:rPr>
            <w:noProof/>
            <w:webHidden/>
          </w:rPr>
          <w:t>103</w:t>
        </w:r>
        <w:r>
          <w:rPr>
            <w:noProof/>
            <w:webHidden/>
          </w:rPr>
          <w:fldChar w:fldCharType="end"/>
        </w:r>
      </w:hyperlink>
    </w:p>
    <w:p w14:paraId="6A759F00" w14:textId="02EBA3E4" w:rsidR="000B0D2E" w:rsidRDefault="000B0D2E">
      <w:pPr>
        <w:pStyle w:val="TOC3"/>
        <w:tabs>
          <w:tab w:val="right" w:leader="dot" w:pos="10456"/>
        </w:tabs>
        <w:rPr>
          <w:rFonts w:eastAsiaTheme="minorEastAsia"/>
          <w:noProof/>
          <w:lang w:eastAsia="en-GB"/>
        </w:rPr>
      </w:pPr>
      <w:hyperlink w:anchor="_Toc205194830" w:history="1">
        <w:r w:rsidRPr="0046143E">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_Toc205194830 \h </w:instrText>
        </w:r>
        <w:r>
          <w:rPr>
            <w:noProof/>
            <w:webHidden/>
          </w:rPr>
        </w:r>
        <w:r>
          <w:rPr>
            <w:noProof/>
            <w:webHidden/>
          </w:rPr>
          <w:fldChar w:fldCharType="separate"/>
        </w:r>
        <w:r>
          <w:rPr>
            <w:noProof/>
            <w:webHidden/>
          </w:rPr>
          <w:t>103</w:t>
        </w:r>
        <w:r>
          <w:rPr>
            <w:noProof/>
            <w:webHidden/>
          </w:rPr>
          <w:fldChar w:fldCharType="end"/>
        </w:r>
      </w:hyperlink>
    </w:p>
    <w:p w14:paraId="3D61A635" w14:textId="4D9E57D5" w:rsidR="000B0D2E" w:rsidRDefault="000B0D2E">
      <w:pPr>
        <w:pStyle w:val="TOC3"/>
        <w:tabs>
          <w:tab w:val="right" w:leader="dot" w:pos="10456"/>
        </w:tabs>
        <w:rPr>
          <w:rFonts w:eastAsiaTheme="minorEastAsia"/>
          <w:noProof/>
          <w:lang w:eastAsia="en-GB"/>
        </w:rPr>
      </w:pPr>
      <w:hyperlink w:anchor="_Toc205194831" w:history="1">
        <w:r w:rsidRPr="0046143E">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_Toc205194831 \h </w:instrText>
        </w:r>
        <w:r>
          <w:rPr>
            <w:noProof/>
            <w:webHidden/>
          </w:rPr>
        </w:r>
        <w:r>
          <w:rPr>
            <w:noProof/>
            <w:webHidden/>
          </w:rPr>
          <w:fldChar w:fldCharType="separate"/>
        </w:r>
        <w:r>
          <w:rPr>
            <w:noProof/>
            <w:webHidden/>
          </w:rPr>
          <w:t>111</w:t>
        </w:r>
        <w:r>
          <w:rPr>
            <w:noProof/>
            <w:webHidden/>
          </w:rPr>
          <w:fldChar w:fldCharType="end"/>
        </w:r>
      </w:hyperlink>
    </w:p>
    <w:p w14:paraId="6632059C" w14:textId="5F779DC6" w:rsidR="000B0D2E" w:rsidRDefault="000B0D2E">
      <w:pPr>
        <w:pStyle w:val="TOC3"/>
        <w:tabs>
          <w:tab w:val="right" w:leader="dot" w:pos="10456"/>
        </w:tabs>
        <w:rPr>
          <w:rFonts w:eastAsiaTheme="minorEastAsia"/>
          <w:noProof/>
          <w:lang w:eastAsia="en-GB"/>
        </w:rPr>
      </w:pPr>
      <w:hyperlink w:anchor="_Toc205194832" w:history="1">
        <w:r w:rsidRPr="0046143E">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_Toc205194832 \h </w:instrText>
        </w:r>
        <w:r>
          <w:rPr>
            <w:noProof/>
            <w:webHidden/>
          </w:rPr>
        </w:r>
        <w:r>
          <w:rPr>
            <w:noProof/>
            <w:webHidden/>
          </w:rPr>
          <w:fldChar w:fldCharType="separate"/>
        </w:r>
        <w:r>
          <w:rPr>
            <w:noProof/>
            <w:webHidden/>
          </w:rPr>
          <w:t>112</w:t>
        </w:r>
        <w:r>
          <w:rPr>
            <w:noProof/>
            <w:webHidden/>
          </w:rPr>
          <w:fldChar w:fldCharType="end"/>
        </w:r>
      </w:hyperlink>
    </w:p>
    <w:p w14:paraId="280E2104" w14:textId="32AC1087" w:rsidR="000B0D2E" w:rsidRDefault="000B0D2E">
      <w:pPr>
        <w:pStyle w:val="TOC2"/>
        <w:tabs>
          <w:tab w:val="right" w:leader="dot" w:pos="10456"/>
        </w:tabs>
        <w:rPr>
          <w:rFonts w:eastAsiaTheme="minorEastAsia"/>
          <w:noProof/>
          <w:lang w:eastAsia="en-GB"/>
        </w:rPr>
      </w:pPr>
      <w:hyperlink w:anchor="_Toc205194833" w:history="1">
        <w:r w:rsidRPr="0046143E">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_Toc205194833 \h </w:instrText>
        </w:r>
        <w:r>
          <w:rPr>
            <w:noProof/>
            <w:webHidden/>
          </w:rPr>
        </w:r>
        <w:r>
          <w:rPr>
            <w:noProof/>
            <w:webHidden/>
          </w:rPr>
          <w:fldChar w:fldCharType="separate"/>
        </w:r>
        <w:r>
          <w:rPr>
            <w:noProof/>
            <w:webHidden/>
          </w:rPr>
          <w:t>113</w:t>
        </w:r>
        <w:r>
          <w:rPr>
            <w:noProof/>
            <w:webHidden/>
          </w:rPr>
          <w:fldChar w:fldCharType="end"/>
        </w:r>
      </w:hyperlink>
    </w:p>
    <w:p w14:paraId="0A1EAB49" w14:textId="41156D25"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205194787"/>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FC10FDB" w:rsidR="00093CA9" w:rsidRDefault="00AF7445" w:rsidP="00093CA9">
            <w:r>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33FB9B0" w:rsidR="00093CA9" w:rsidRDefault="00AF7445" w:rsidP="00093CA9">
            <w:r>
              <w:t>South Africa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7A7F49C" w:rsidR="00093CA9" w:rsidRDefault="00AF7445" w:rsidP="00093CA9">
            <w:r w:rsidRPr="00AF7445">
              <w:t>Carbon Tax Act 15 of 2019 read with Regulations on carbon offsets under section 19 of the Act (GN 1556 of 29 November 2019)</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6C108273" w:rsidR="00093CA9" w:rsidRDefault="002A52E3" w:rsidP="00093CA9">
            <w:proofErr w:type="gramStart"/>
            <w:r>
              <w:t>https://web.archive.org/web/20240820172146/https://cer.org.za/wp-content/uploads/2019/05/Carbon-Tax-Act-15-of-2019-as-amended-2023.pdf  National</w:t>
            </w:r>
            <w:proofErr w:type="gramEnd"/>
            <w:r>
              <w:t xml:space="preserve"> Climate</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2E9D478" w:rsidR="00093CA9" w:rsidRDefault="00AF744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0C1E4AAC" w:rsidR="00093CA9" w:rsidRDefault="00F90A5E" w:rsidP="00093CA9">
            <w:r w:rsidRPr="00F90A5E">
              <w:t>The primary goal of the Carbon Tax Act</w:t>
            </w:r>
            <w:r>
              <w:t>, which</w:t>
            </w:r>
            <w:r w:rsidR="006C7B68">
              <w:t xml:space="preserve"> </w:t>
            </w:r>
            <w:r w:rsidRPr="00F90A5E">
              <w:t>came into effect on 1 June 2</w:t>
            </w:r>
            <w:r w:rsidR="006C7B68">
              <w:t xml:space="preserve">019, </w:t>
            </w:r>
            <w:r w:rsidRPr="00F90A5E">
              <w:t xml:space="preserve">is to impose a tax on the carbon dioxide (CO2) equivalent of greenhouse gas emissions to address climate change. </w:t>
            </w:r>
            <w:r w:rsidR="00217931" w:rsidRPr="00217931">
              <w:t>The Act includes provisions for carbon offsets, which are integral to the Act's framework. Section 13 of the Act allows taxpayers to reduce their carbon tax liability by utili</w:t>
            </w:r>
            <w:r w:rsidR="00F049C0">
              <w:t>s</w:t>
            </w:r>
            <w:r w:rsidR="00217931" w:rsidRPr="00217931">
              <w:t xml:space="preserve">ing carbon </w:t>
            </w:r>
            <w:r w:rsidR="00D61631">
              <w:t xml:space="preserve">credits (referred to as carbon </w:t>
            </w:r>
            <w:r w:rsidR="00217931" w:rsidRPr="00217931">
              <w:t>offsets</w:t>
            </w:r>
            <w:r w:rsidR="00D61631">
              <w:t xml:space="preserve"> in the Act)</w:t>
            </w:r>
            <w:r w:rsidR="00217931" w:rsidRPr="00217931">
              <w:t>. These offsets must be derived from approved projects that avoid, reduce, or sequester CO2</w:t>
            </w:r>
            <w:r w:rsidR="00CD0E9A">
              <w:t xml:space="preserve"> </w:t>
            </w:r>
            <w:r w:rsidR="00217931" w:rsidRPr="00217931">
              <w:t>e</w:t>
            </w:r>
            <w:r w:rsidR="00CD0E9A">
              <w:t>quivalent</w:t>
            </w:r>
            <w:r w:rsidR="00217931" w:rsidRPr="00217931">
              <w:t xml:space="preserve"> emissions. The Act mandates the Minister of Finance to make regulations regarding the activities for which an offset is generated, the limitation on carbon offset allowances, offset duration periods, and the administration of the offset allowance. The Carbon Offset Administration System (COAS) is established to facilitate the listing, transfer, and retirement of carbon credits, ensuring that they are used effectively to mitigate carbon tax liabilities.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0B67BDA1" w:rsidR="00093CA9" w:rsidRDefault="008F3BB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1F0D5A6" w:rsidR="00093CA9" w:rsidRPr="00173D7C" w:rsidRDefault="004D2D12"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6DD6A04" w14:textId="416801B4" w:rsidR="00707059" w:rsidRPr="0051517A" w:rsidRDefault="00707059" w:rsidP="0051517A">
            <w:pPr>
              <w:rPr>
                <w:color w:val="000000" w:themeColor="text1"/>
              </w:rPr>
            </w:pPr>
            <w:r w:rsidRPr="0051517A">
              <w:rPr>
                <w:color w:val="000000" w:themeColor="text1"/>
              </w:rPr>
              <w:t xml:space="preserve">The Carbon Tax Act was enacted by the Parliament of South Africa, which is the national legislative body responsible for creating and passing laws. The Act was signed into law by the President of South Africa, reflecting the involvement of the head of state in the final approval process. The administration and implementation of the Act </w:t>
            </w:r>
            <w:r w:rsidR="00DE5A22">
              <w:rPr>
                <w:color w:val="000000" w:themeColor="text1"/>
              </w:rPr>
              <w:t>is</w:t>
            </w:r>
            <w:r w:rsidRPr="0051517A">
              <w:rPr>
                <w:color w:val="000000" w:themeColor="text1"/>
              </w:rPr>
              <w:t xml:space="preserve"> overseen by the South African Revenue Service, which is responsible for the collection and enforcement of the carbon tax as an environmental levy under the Customs and Excise Act. Additionally, the </w:t>
            </w:r>
            <w:r w:rsidR="002A4A3A" w:rsidRPr="002A4A3A">
              <w:rPr>
                <w:color w:val="000000" w:themeColor="text1"/>
              </w:rPr>
              <w:t xml:space="preserve">Department of Forestry, Fisheries and the Environment </w:t>
            </w:r>
            <w:r w:rsidRPr="0051517A">
              <w:rPr>
                <w:color w:val="000000" w:themeColor="text1"/>
              </w:rPr>
              <w:t xml:space="preserve">plays a role in approving emissions determination methodologies, and the Department of </w:t>
            </w:r>
            <w:r w:rsidR="00C756A3" w:rsidRPr="00C756A3">
              <w:rPr>
                <w:color w:val="000000" w:themeColor="text1"/>
              </w:rPr>
              <w:t xml:space="preserve">Electricity and Energy </w:t>
            </w:r>
            <w:r w:rsidRPr="0051517A">
              <w:rPr>
                <w:color w:val="000000" w:themeColor="text1"/>
              </w:rPr>
              <w:t>administers the Carbon Offset Administration System for managing carbon offsets.</w:t>
            </w:r>
          </w:p>
          <w:p w14:paraId="7961F236" w14:textId="06DF3EFD" w:rsidR="00093CA9" w:rsidRPr="0051517A" w:rsidRDefault="00093CA9" w:rsidP="00707059">
            <w:pPr>
              <w:rPr>
                <w:color w:val="000000" w:themeColor="text1"/>
              </w:rPr>
            </w:pP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9E8743C" w:rsidR="00093CA9" w:rsidRPr="006B7B0D" w:rsidRDefault="002348F7" w:rsidP="00093CA9">
            <w:r>
              <w:t>The South African Revenue Service (</w:t>
            </w:r>
            <w:r w:rsidRPr="002348F7">
              <w:t>SARS</w:t>
            </w:r>
            <w:r>
              <w:t>)</w:t>
            </w:r>
            <w:r w:rsidRPr="002348F7">
              <w:t xml:space="preserve"> is the principal authority responsible for the administration, implementation, and enforcement of the Carbon Tax Act in South Africa. The Carbon Tax Act explicitly vests SARS with the duty to administer the Act as if the carbon tax were an environmental levy under the Customs and Excise Act, 1964. This means SARS is responsible for the collection, assessment, and enforcement of carbon tax liabilities, using the same mechanisms and procedures as for other environmental levies.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2F0B74" w:rsidR="00093CA9" w:rsidRPr="006B7B0D" w:rsidRDefault="00E0244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6D8E2CF" w:rsidR="00093CA9" w:rsidRPr="006B7B0D" w:rsidRDefault="00E02440" w:rsidP="00093CA9">
            <w:r w:rsidRPr="00E02440">
              <w:t xml:space="preserve">SARS relies on emissions data collected and verified by the </w:t>
            </w:r>
            <w:r w:rsidRPr="002A4A3A">
              <w:rPr>
                <w:color w:val="000000" w:themeColor="text1"/>
              </w:rPr>
              <w:t xml:space="preserve">Department of Forestry, Fisheries and the Environment </w:t>
            </w:r>
            <w:r>
              <w:rPr>
                <w:color w:val="000000" w:themeColor="text1"/>
              </w:rPr>
              <w:t>(</w:t>
            </w:r>
            <w:r w:rsidRPr="00E02440">
              <w:t>DFFE</w:t>
            </w:r>
            <w:r>
              <w:t>)</w:t>
            </w:r>
            <w:r w:rsidRPr="00E02440">
              <w:t xml:space="preserve"> to calculate and confirm carbon tax liabilities. The DFFE is responsible for the technical aspects of emissions reporting, while SARS focuses on the fiscal and administrative aspects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21C3C27" w:rsidR="00093CA9" w:rsidRPr="006B7B0D" w:rsidRDefault="009C5259"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1285B03" w:rsidR="00093CA9" w:rsidRPr="006B7B0D" w:rsidRDefault="009C5259" w:rsidP="00093CA9">
            <w:r w:rsidRPr="009C5259">
              <w:t>SARS works in conjunction with the Department of Electricity and Energy, which manages the Carbon Offset Administration System. Taxpayers can use approved carbon offsets to reduce their carbon tax liability, and SARS verifies the validity of offset certificates submitted with tax returns.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0CBB0A2C" w:rsidR="00093CA9" w:rsidRPr="006B7B0D" w:rsidRDefault="00D66539"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07F4E41F" w14:textId="77777777" w:rsidR="00093CA9" w:rsidRDefault="00D21CA2" w:rsidP="00093CA9">
            <w:r>
              <w:t>The South African Revenue Service (</w:t>
            </w:r>
            <w:r w:rsidR="00B114B7" w:rsidRPr="00B114B7">
              <w:t>SARS</w:t>
            </w:r>
            <w:r>
              <w:t>)</w:t>
            </w:r>
            <w:r w:rsidR="00B114B7" w:rsidRPr="00B114B7">
              <w:t xml:space="preserve"> is the principal authority responsible for the administration, implementation, and enforcement of the Carbon Tax Act. The Act is administered as an environmental levy under the Customs and Excise Act, 1964, with SARS overseeing all fiscal and administrative aspects.</w:t>
            </w:r>
          </w:p>
          <w:p w14:paraId="54942282" w14:textId="77777777" w:rsidR="00D21CA2" w:rsidRDefault="00A23685" w:rsidP="00093CA9">
            <w:r>
              <w:t xml:space="preserve">The </w:t>
            </w:r>
            <w:r w:rsidR="00D21CA2" w:rsidRPr="00D21CA2">
              <w:t>Department of Forestry, Fisheries and the Environment</w:t>
            </w:r>
            <w:r>
              <w:t xml:space="preserve"> i</w:t>
            </w:r>
            <w:r w:rsidRPr="00A23685">
              <w:t>s responsible for the technical aspects of greenhouse gas emissions reporting. It sets the methodologies, collects emissions data, and verifies the accuracy of reported emissions.</w:t>
            </w:r>
          </w:p>
          <w:p w14:paraId="42D06D03" w14:textId="6843FC03" w:rsidR="00A23685" w:rsidRDefault="00796164" w:rsidP="00093CA9">
            <w:r>
              <w:t xml:space="preserve">The </w:t>
            </w:r>
            <w:r w:rsidRPr="009C5259">
              <w:t>Department of Electricity and Energy</w:t>
            </w:r>
            <w:r w:rsidRPr="00796164">
              <w:t xml:space="preserve"> </w:t>
            </w:r>
            <w:r>
              <w:t>(</w:t>
            </w:r>
            <w:r w:rsidRPr="00796164">
              <w:t>DEE</w:t>
            </w:r>
            <w:r>
              <w:t>)</w:t>
            </w:r>
            <w:r w:rsidRPr="00796164">
              <w:t xml:space="preserve"> is responsible for managing the COAS, which facilitates the listing, transfer, and retirement of carbon credits used to offset carbon tax liabilities.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1A3D0F49" w:rsidR="00093CA9" w:rsidRDefault="00CD077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64A65897" w14:textId="27126159" w:rsidR="002D1B4D" w:rsidRDefault="002D1B4D" w:rsidP="002D1B4D">
            <w:pPr>
              <w:keepNext/>
            </w:pPr>
            <w:r w:rsidRPr="0051517A">
              <w:rPr>
                <w:b/>
                <w:bCs/>
              </w:rPr>
              <w:t>Annual Reporting of Emissions</w:t>
            </w:r>
            <w:r>
              <w:t>: Companies that fall within the scope of the Carbon Tax Act are required to report their greenhouse gas (GHG) emissions annually to the Department of Forestry, Fisheries and the Environment (DFFE). This is done in accordance with the National Greenhouse Gas Emissions Reporting Regulations, which underpin the tax base for the Carbon Tax Act. The reporting must be completed by 31 March each year for the preceding calendar year.</w:t>
            </w:r>
          </w:p>
          <w:p w14:paraId="0A78E54C" w14:textId="77777777" w:rsidR="00093CA9" w:rsidRDefault="002D1B4D" w:rsidP="002D1B4D">
            <w:pPr>
              <w:keepNext/>
            </w:pPr>
            <w:r w:rsidRPr="0051517A">
              <w:rPr>
                <w:b/>
                <w:bCs/>
              </w:rPr>
              <w:t>Submission of Carbon Tax Returns</w:t>
            </w:r>
            <w:r>
              <w:t>: Taxpayers must submit annual environmental levy accounts and payments to the South African Revenue Service (SARS) for every tax period (1 January to 31 December). SARS monitors compliance through these submissions and may require supporting documentation, such as the DA 180 carbon tax account and evidence for any allowances claimed.</w:t>
            </w:r>
          </w:p>
          <w:p w14:paraId="0AD197BE" w14:textId="457FDC89" w:rsidR="004438C5" w:rsidRPr="004438C5" w:rsidRDefault="004438C5" w:rsidP="004438C5">
            <w:pPr>
              <w:keepNext/>
              <w:rPr>
                <w:color w:val="000000" w:themeColor="text1"/>
              </w:rPr>
            </w:pPr>
            <w:r w:rsidRPr="0051517A">
              <w:rPr>
                <w:b/>
                <w:bCs/>
                <w:color w:val="000000" w:themeColor="text1"/>
              </w:rPr>
              <w:t>National Atmospheric Emission Inventory System (NAEIS)</w:t>
            </w:r>
            <w:r w:rsidRPr="004438C5">
              <w:rPr>
                <w:color w:val="000000" w:themeColor="text1"/>
              </w:rPr>
              <w:t>: The DFFE operates the NAEIS, an online emissions reporting system that forms part of the South African Air Quality Information System. This system captures GHG emissions data from regulated entities and is used to verify compliance and inform the calculation of carbon tax liabilities.</w:t>
            </w:r>
          </w:p>
          <w:p w14:paraId="6061C447" w14:textId="77777777" w:rsidR="004438C5" w:rsidRDefault="004438C5" w:rsidP="004438C5">
            <w:pPr>
              <w:keepNext/>
              <w:rPr>
                <w:color w:val="000000" w:themeColor="text1"/>
              </w:rPr>
            </w:pPr>
            <w:r w:rsidRPr="0051517A">
              <w:rPr>
                <w:b/>
                <w:bCs/>
                <w:color w:val="000000" w:themeColor="text1"/>
              </w:rPr>
              <w:t>Carbon Offset Administration System (COAS)</w:t>
            </w:r>
            <w:r w:rsidRPr="004438C5">
              <w:rPr>
                <w:color w:val="000000" w:themeColor="text1"/>
              </w:rPr>
              <w:t>: The Department of Electricity and Energy (DEE) manages the COAS, which is an electronic registry for the listing, transfer, and retirement of carbon credits used to offset carbon tax liabilities. This system ensures traceability and prevents double counting of offsets.</w:t>
            </w:r>
          </w:p>
          <w:p w14:paraId="5D62D3B7" w14:textId="7AF6B3D3" w:rsidR="00EA238D" w:rsidRPr="00EA238D" w:rsidRDefault="00EA238D" w:rsidP="00EA238D">
            <w:pPr>
              <w:keepNext/>
              <w:rPr>
                <w:color w:val="000000" w:themeColor="text1"/>
              </w:rPr>
            </w:pPr>
            <w:r w:rsidRPr="0051517A">
              <w:rPr>
                <w:b/>
                <w:bCs/>
                <w:color w:val="000000" w:themeColor="text1"/>
              </w:rPr>
              <w:t>SARS Compliance Monitoring</w:t>
            </w:r>
            <w:r w:rsidRPr="00EA238D">
              <w:rPr>
                <w:color w:val="000000" w:themeColor="text1"/>
              </w:rPr>
              <w:t>: SARS conducts audits and verifications of self-reported tax liabilities, reviews supporting documentation, and may conduct site inspections. Non-compliance can result in penalties, interest, and, in severe cases, criminal sanctions.</w:t>
            </w:r>
          </w:p>
          <w:p w14:paraId="2C2128DB" w14:textId="4960DEEC" w:rsidR="00EA238D" w:rsidRPr="008017F9" w:rsidRDefault="00EA238D" w:rsidP="00EA238D">
            <w:pPr>
              <w:keepNext/>
              <w:rPr>
                <w:color w:val="000000" w:themeColor="text1"/>
              </w:rPr>
            </w:pPr>
            <w:r w:rsidRPr="0051517A">
              <w:rPr>
                <w:b/>
                <w:bCs/>
                <w:color w:val="000000" w:themeColor="text1"/>
              </w:rPr>
              <w:t>DFFE Verification</w:t>
            </w:r>
            <w:r w:rsidRPr="00EA238D">
              <w:rPr>
                <w:color w:val="000000" w:themeColor="text1"/>
              </w:rPr>
              <w:t>: DFFE is responsible for verifying the accuracy and completeness of GHG emissions data submitted by companies.</w:t>
            </w:r>
          </w:p>
        </w:tc>
      </w:tr>
    </w:tbl>
    <w:p w14:paraId="6F36141D" w14:textId="193F21DA" w:rsidR="005F3137" w:rsidRDefault="005F3137"/>
    <w:p w14:paraId="4E5E0234" w14:textId="5F707638" w:rsidR="00A40404" w:rsidRDefault="005E50FD" w:rsidP="00A40404">
      <w:pPr>
        <w:pStyle w:val="Heading1"/>
      </w:pPr>
      <w:r>
        <w:br w:type="page"/>
      </w:r>
      <w:bookmarkStart w:id="1" w:name="_Toc205194788"/>
      <w:r w:rsidR="00A40404">
        <w:lastRenderedPageBreak/>
        <w:t>Domain 1: Climate-Related Disclosure</w:t>
      </w:r>
      <w:bookmarkEnd w:id="1"/>
    </w:p>
    <w:p w14:paraId="74977052" w14:textId="07875EE2" w:rsidR="005E50FD" w:rsidRDefault="00A40404" w:rsidP="00A40404">
      <w:pPr>
        <w:pStyle w:val="Heading2"/>
      </w:pPr>
      <w:bookmarkStart w:id="2" w:name="_Toc205194789"/>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AF744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205194790"/>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205194791"/>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205194792"/>
      <w:r>
        <w:lastRenderedPageBreak/>
        <w:t>Domain 2: Transition Planning</w:t>
      </w:r>
      <w:bookmarkEnd w:id="6"/>
    </w:p>
    <w:p w14:paraId="0CA57B64" w14:textId="2923536F" w:rsidR="00F41EE0" w:rsidRDefault="005E50FD" w:rsidP="00F41EE0">
      <w:pPr>
        <w:pStyle w:val="Heading2"/>
      </w:pPr>
      <w:bookmarkStart w:id="7" w:name="_Toc205194793"/>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AF744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205194794"/>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205194795"/>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205194796"/>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205194797"/>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205194798"/>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205194799"/>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205194800"/>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AF744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205194801"/>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205194802"/>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205194803"/>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205194804"/>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205194805"/>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205194806"/>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205194807"/>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205194808"/>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205194809"/>
      <w:r>
        <w:lastRenderedPageBreak/>
        <w:t>Domain 4: Carbon Credits</w:t>
      </w:r>
      <w:bookmarkEnd w:id="25"/>
    </w:p>
    <w:p w14:paraId="25C35D8C" w14:textId="52BD279F" w:rsidR="001C0769" w:rsidRPr="001C0769" w:rsidRDefault="000428FA" w:rsidP="001C0769">
      <w:pPr>
        <w:pStyle w:val="Heading2"/>
      </w:pPr>
      <w:bookmarkStart w:id="26" w:name="_Toc205194810"/>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331B7B10"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404CE510"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60FC5EE4"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4CD146FD" w:rsidR="00D4323A" w:rsidRPr="00CF2E7C" w:rsidRDefault="002A52E3"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139D42E9"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131CA6CF"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4D381596"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BA0F2C8"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688ED3F2"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4A65DD54"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40E8C75E"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3D35318C"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3CBA9DE1" w:rsidR="00D4323A" w:rsidRPr="00CF2E7C" w:rsidRDefault="002A52E3" w:rsidP="00CF2E7C">
            <w:pPr>
              <w:rPr>
                <w:rFonts w:ascii="Calibri" w:hAnsi="Calibri" w:cs="Calibri"/>
              </w:rPr>
            </w:pPr>
            <w:r>
              <w:rPr>
                <w:rFonts w:ascii="Calibri" w:hAnsi="Calibri" w:cs="Calibri"/>
              </w:rPr>
              <w:t>X</w:t>
            </w: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567B41C1" w14:textId="77777777" w:rsidR="002A52E3" w:rsidRPr="007646D4" w:rsidRDefault="002A52E3" w:rsidP="002A52E3">
            <w:pPr>
              <w:rPr>
                <w:rFonts w:ascii="Calibri" w:hAnsi="Calibri" w:cs="Calibri"/>
              </w:rPr>
            </w:pPr>
            <w:r w:rsidRPr="007646D4">
              <w:rPr>
                <w:rFonts w:ascii="Calibri" w:hAnsi="Calibri" w:cs="Calibri"/>
              </w:rPr>
              <w:t>South Africa’s carbon tax, introduced under the Carbon Tax Act, 2019, is a statutory obligation imposed on entities that conduct activities resulting in greenhouse gas (GHG) emissions above certain thresholds. The tax is designed to incentivise emissions reductions by attaching a direct cost to carbon emissions. All affected taxpayers—primarily large industrial emitters in sectors such as energy, mining, manufacturing, and transport—are required by law to calculate and pay the carbon tax based on their measured or estimated emissions.</w:t>
            </w:r>
          </w:p>
          <w:p w14:paraId="2804699B" w14:textId="210A06B2" w:rsidR="00092534" w:rsidRPr="00CF2E7C" w:rsidRDefault="002A52E3" w:rsidP="00CF2E7C">
            <w:pPr>
              <w:rPr>
                <w:rFonts w:ascii="Calibri" w:hAnsi="Calibri" w:cs="Calibri"/>
              </w:rPr>
            </w:pPr>
            <w:r w:rsidRPr="007646D4">
              <w:rPr>
                <w:rFonts w:ascii="Calibri" w:hAnsi="Calibri" w:cs="Calibri"/>
              </w:rPr>
              <w:lastRenderedPageBreak/>
              <w:t>It is important to clarify that while payment of the carbon tax is mandatory for these entities, there is no legal requirement for taxpayers to acquire carbon credits as part of their compliance. The obligation is to pay the tax itself; the acquisition of carbon credits is an optional mechanism that can be used to reduce the effective tax liability.</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18AF902A" w:rsidR="00092534" w:rsidRPr="00CF2E7C" w:rsidRDefault="002A52E3"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223A6943" w:rsidR="00092534" w:rsidRPr="00CF2E7C" w:rsidRDefault="002A52E3"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35E4E630" w:rsidR="00092534" w:rsidRPr="00CF2E7C" w:rsidRDefault="002A52E3"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295F97C8" w:rsidR="00092534" w:rsidRPr="00CF2E7C" w:rsidRDefault="002A52E3"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534E8D0D" w:rsidR="00092534" w:rsidRPr="00CF2E7C" w:rsidRDefault="002A52E3"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lastRenderedPageBreak/>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6E74B39A" w:rsidR="00092534" w:rsidRPr="00CF2E7C" w:rsidRDefault="000E3F13" w:rsidP="00CF2E7C">
            <w:pPr>
              <w:rPr>
                <w:rFonts w:ascii="Calibri" w:hAnsi="Calibri" w:cs="Calibri"/>
              </w:rPr>
            </w:pPr>
            <w:r>
              <w:rPr>
                <w:rFonts w:ascii="Calibri" w:hAnsi="Calibri" w:cs="Calibri"/>
              </w:rPr>
              <w:t>X</w:t>
            </w: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3A3D13D7" w:rsidR="00092534" w:rsidRPr="00CF2E7C" w:rsidRDefault="000E3F13" w:rsidP="00CF2E7C">
            <w:pPr>
              <w:rPr>
                <w:rFonts w:ascii="Calibri" w:hAnsi="Calibri" w:cs="Calibri"/>
              </w:rPr>
            </w:pPr>
            <w:r>
              <w:rPr>
                <w:rFonts w:ascii="Calibri" w:hAnsi="Calibri" w:cs="Calibri"/>
              </w:rPr>
              <w:t>T</w:t>
            </w:r>
            <w:r w:rsidRPr="007646D4">
              <w:rPr>
                <w:rFonts w:ascii="Calibri" w:hAnsi="Calibri" w:cs="Calibri"/>
              </w:rPr>
              <w:t xml:space="preserve">here is no legal requirement for taxpayers to acquire carbon credits as part of their compliance. The obligation is to pay the </w:t>
            </w:r>
            <w:r>
              <w:rPr>
                <w:rFonts w:ascii="Calibri" w:hAnsi="Calibri" w:cs="Calibri"/>
              </w:rPr>
              <w:t xml:space="preserve">carbon </w:t>
            </w:r>
            <w:r w:rsidRPr="007646D4">
              <w:rPr>
                <w:rFonts w:ascii="Calibri" w:hAnsi="Calibri" w:cs="Calibri"/>
              </w:rPr>
              <w:t>tax itself</w:t>
            </w:r>
            <w:r>
              <w:rPr>
                <w:rFonts w:ascii="Calibri" w:hAnsi="Calibri" w:cs="Calibri"/>
              </w:rPr>
              <w:t>.</w:t>
            </w:r>
            <w:r w:rsidRPr="007646D4">
              <w:rPr>
                <w:rFonts w:ascii="Calibri" w:hAnsi="Calibri" w:cs="Calibri"/>
              </w:rPr>
              <w:t xml:space="preserve"> </w:t>
            </w:r>
            <w:r>
              <w:rPr>
                <w:rFonts w:ascii="Calibri" w:hAnsi="Calibri" w:cs="Calibri"/>
              </w:rPr>
              <w:t>T</w:t>
            </w:r>
            <w:r w:rsidRPr="007646D4">
              <w:rPr>
                <w:rFonts w:ascii="Calibri" w:hAnsi="Calibri" w:cs="Calibri"/>
              </w:rPr>
              <w:t>he acquisition of carbon credits is an optional mechanism that can be used to reduce the effective tax liability</w:t>
            </w:r>
            <w:r>
              <w:rPr>
                <w:rFonts w:ascii="Calibri" w:hAnsi="Calibri" w:cs="Calibri"/>
              </w:rPr>
              <w:t>.</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5BEB3E99" w:rsidR="00092534" w:rsidRPr="00CF2E7C" w:rsidRDefault="000E3F13" w:rsidP="00CF2E7C">
            <w:pPr>
              <w:rPr>
                <w:rFonts w:ascii="Calibri" w:hAnsi="Calibri" w:cs="Calibri"/>
              </w:rPr>
            </w:pPr>
            <w:r>
              <w:rPr>
                <w:rFonts w:ascii="Calibri" w:hAnsi="Calibri" w:cs="Calibri"/>
              </w:rPr>
              <w:t>Carbon c</w:t>
            </w:r>
            <w:r w:rsidRPr="00640D19">
              <w:rPr>
                <w:rFonts w:ascii="Calibri" w:hAnsi="Calibri" w:cs="Calibri"/>
              </w:rPr>
              <w:t xml:space="preserve">redits, or “carbon offsets,” are recognised as a voluntary mechanism within the carbon tax framework. </w:t>
            </w:r>
            <w:r>
              <w:rPr>
                <w:rFonts w:ascii="Calibri" w:hAnsi="Calibri" w:cs="Calibri"/>
              </w:rPr>
              <w:t>T</w:t>
            </w:r>
            <w:r w:rsidRPr="00640D19">
              <w:rPr>
                <w:rFonts w:ascii="Calibri" w:hAnsi="Calibri" w:cs="Calibri"/>
              </w:rPr>
              <w:t>he Carbon Tax Act provides for an “offset allowance,” which permits taxpayers to reduce their carbon tax liability by utilising eligible carbon offsets, subject to prescribed limits. The acquisition and use of carbon credits are entirely optional; they serve as a cost-containment measure, allowing entities to lower their tax burden if they choose to invest in qualifying emission reduction projects outside their own operations.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AF744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lastRenderedPageBreak/>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6ACD66D2" w:rsidR="00DB1E72" w:rsidRPr="00CF2E7C" w:rsidRDefault="000E3F13"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64EE6E10" w:rsidR="00092534" w:rsidRPr="00CF2E7C" w:rsidRDefault="000E3F13"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24DA93DA" w14:textId="77777777" w:rsidR="000E3F13" w:rsidRDefault="000E3F13" w:rsidP="000E3F13">
            <w:r w:rsidRPr="00F75436">
              <w:t xml:space="preserve">The South African carbon tax regime, implemented in 2019, continues to allow companies to use carbon credits to offset a portion of their tax liability. The system is designed to incentivise investment in emission reduction projects, with the carbon offset allowance providing flexibility for firms to reduce their carbon tax by investing in eligible projects. </w:t>
            </w:r>
          </w:p>
          <w:p w14:paraId="34A8CBA2" w14:textId="77777777" w:rsidR="00092534" w:rsidRDefault="000E3F13" w:rsidP="00CF2E7C">
            <w:r w:rsidRPr="005854B8">
              <w:t>The Carbon Offset Administration System (COAS) is the official registry for listing, transferring, and retiring offsets for tax purposes.</w:t>
            </w:r>
          </w:p>
          <w:p w14:paraId="4E9BC062" w14:textId="4A98C3AB" w:rsidR="000E3F13" w:rsidRPr="000E3F13" w:rsidRDefault="000E3F13" w:rsidP="00CF2E7C">
            <w:r w:rsidRPr="00F75436">
              <w:rPr>
                <w:rFonts w:ascii="Calibri" w:hAnsi="Calibri" w:cs="Calibri"/>
              </w:rPr>
              <w:t xml:space="preserve">In November 2023, the Johannesburg Stock Exchange (JSE), in partnership with </w:t>
            </w:r>
            <w:proofErr w:type="spellStart"/>
            <w:r w:rsidRPr="00F75436">
              <w:rPr>
                <w:rFonts w:ascii="Calibri" w:hAnsi="Calibri" w:cs="Calibri"/>
              </w:rPr>
              <w:t>Xpansiv</w:t>
            </w:r>
            <w:proofErr w:type="spellEnd"/>
            <w:r w:rsidRPr="00F75436">
              <w:rPr>
                <w:rFonts w:ascii="Calibri" w:hAnsi="Calibri" w:cs="Calibri"/>
              </w:rPr>
              <w:t xml:space="preserve"> (a US-based global environmental markets infrastructure provider), launched the JSE Ventures Carbon Market. This platform allows local participants to buy and sell carbon credits and renewable energy certificates (RECs) from both local and global registries. The credits are tradeable certificates representing one metric tonne of CO₂ reduction, generated through projects such as renewable energy and reforestation. This development marks a major step in providing a credible, transparent, and accessible marketplace for carbon credits in South Africa.</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lastRenderedPageBreak/>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689E5292" w:rsidR="00092534" w:rsidRPr="00CF2E7C" w:rsidRDefault="000E3F13"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205194811"/>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1CD287A7" w:rsidR="00D46B07" w:rsidRPr="00CF2E7C" w:rsidRDefault="000E3F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53AAD8A0" w:rsidR="00D46B07" w:rsidRPr="00CF2E7C" w:rsidRDefault="000E3F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5C454C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E3F13">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6994337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E3F13">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7588720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E3F13">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0E8BE0D9" w:rsidR="00D46B07" w:rsidRPr="00CF2E7C" w:rsidRDefault="000E3F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205194812"/>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273D98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3F1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00FD60E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3F1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137ACE5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3F1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694AAC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F1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333094" w14:textId="77777777" w:rsidR="000E3F13" w:rsidRDefault="00702413" w:rsidP="000E3F1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F13" w:rsidRPr="00A775CC">
              <w:rPr>
                <w:rFonts w:ascii="Calibri" w:eastAsia="Times New Roman" w:hAnsi="Calibri" w:cs="Calibri"/>
                <w:kern w:val="0"/>
                <w:lang w:eastAsia="en-GB"/>
                <w14:ligatures w14:val="none"/>
              </w:rPr>
              <w:t>The Carbon Offset Administration System (COAS) is the official administrative platform for the listing, transfer, and retirement of carbon offset credits under South Africa’s carbon tax regime. The legal framework governing the use of COAS is established by the Carbon Tax Act, 2019 (Act No. 15 of 2019) and the Regulations on Carbon Offsets (GN 1556 of 29 November 2019, as amended).</w:t>
            </w:r>
          </w:p>
          <w:p w14:paraId="2FDB979A" w14:textId="77777777" w:rsidR="000E3F13" w:rsidRDefault="000E3F13" w:rsidP="000E3F13">
            <w:pPr>
              <w:textAlignment w:val="baseline"/>
              <w:rPr>
                <w:rFonts w:ascii="Calibri" w:eastAsia="Times New Roman" w:hAnsi="Calibri" w:cs="Calibri"/>
                <w:kern w:val="0"/>
                <w:lang w:eastAsia="en-GB"/>
                <w14:ligatures w14:val="none"/>
              </w:rPr>
            </w:pPr>
            <w:r w:rsidRPr="00993987">
              <w:rPr>
                <w:rFonts w:ascii="Calibri" w:eastAsia="Times New Roman" w:hAnsi="Calibri" w:cs="Calibri"/>
                <w:kern w:val="0"/>
                <w:lang w:eastAsia="en-GB"/>
                <w14:ligatures w14:val="none"/>
              </w:rPr>
              <w:t>Section 13 of the Carbon Tax Act provides for the offset allowance, permitting taxpayers to reduce their carbon tax liability by utilising carbon offsets as prescribed by the Minister. However, the Act itself does not explicitly mention the term "Carbon Offset Administration System" or "COAS" by name. Instead, it empowers the Minister to make regulations regarding the administration of carbon offsets, including the institution, board, or body that must administer the offset allowance and the records that must be kept (Section 19(c)(iv)-(vi)).</w:t>
            </w:r>
          </w:p>
          <w:p w14:paraId="1653AFE9" w14:textId="77777777" w:rsidR="000E3F13" w:rsidRPr="00762546" w:rsidRDefault="000E3F13" w:rsidP="000E3F13">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Section 19 of the Carbon Tax Act authorises the Minister to make regulations regarding:</w:t>
            </w:r>
          </w:p>
          <w:p w14:paraId="239043A1" w14:textId="77777777" w:rsidR="000E3F13" w:rsidRPr="00762546" w:rsidRDefault="000E3F13" w:rsidP="000E3F13">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xml:space="preserve">• The projects or activities in respect of which an offset is </w:t>
            </w:r>
            <w:proofErr w:type="gramStart"/>
            <w:r w:rsidRPr="00762546">
              <w:rPr>
                <w:rFonts w:ascii="Calibri" w:eastAsia="Times New Roman" w:hAnsi="Calibri" w:cs="Calibri"/>
                <w:kern w:val="0"/>
                <w:lang w:eastAsia="en-GB"/>
                <w14:ligatures w14:val="none"/>
              </w:rPr>
              <w:t>generated;</w:t>
            </w:r>
            <w:proofErr w:type="gramEnd"/>
          </w:p>
          <w:p w14:paraId="707F43FD" w14:textId="77777777" w:rsidR="000E3F13" w:rsidRPr="00762546" w:rsidRDefault="000E3F13" w:rsidP="000E3F13">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xml:space="preserve">• The institution, board, or body that must administer the offset </w:t>
            </w:r>
            <w:proofErr w:type="gramStart"/>
            <w:r w:rsidRPr="00762546">
              <w:rPr>
                <w:rFonts w:ascii="Calibri" w:eastAsia="Times New Roman" w:hAnsi="Calibri" w:cs="Calibri"/>
                <w:kern w:val="0"/>
                <w:lang w:eastAsia="en-GB"/>
                <w14:ligatures w14:val="none"/>
              </w:rPr>
              <w:t>allowance;</w:t>
            </w:r>
            <w:proofErr w:type="gramEnd"/>
          </w:p>
          <w:p w14:paraId="5D602C35" w14:textId="77777777" w:rsidR="000E3F13" w:rsidRPr="00762546" w:rsidRDefault="000E3F13" w:rsidP="000E3F13">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xml:space="preserve">• The powers and responsibilities of such institution, board, or </w:t>
            </w:r>
            <w:proofErr w:type="gramStart"/>
            <w:r w:rsidRPr="00762546">
              <w:rPr>
                <w:rFonts w:ascii="Calibri" w:eastAsia="Times New Roman" w:hAnsi="Calibri" w:cs="Calibri"/>
                <w:kern w:val="0"/>
                <w:lang w:eastAsia="en-GB"/>
                <w14:ligatures w14:val="none"/>
              </w:rPr>
              <w:t>body;</w:t>
            </w:r>
            <w:proofErr w:type="gramEnd"/>
          </w:p>
          <w:p w14:paraId="4D8CCB4A" w14:textId="77777777" w:rsidR="000E3F13" w:rsidRPr="00762546" w:rsidRDefault="000E3F13" w:rsidP="000E3F13">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xml:space="preserve">• The procedure for claiming the offset </w:t>
            </w:r>
            <w:proofErr w:type="gramStart"/>
            <w:r w:rsidRPr="00762546">
              <w:rPr>
                <w:rFonts w:ascii="Calibri" w:eastAsia="Times New Roman" w:hAnsi="Calibri" w:cs="Calibri"/>
                <w:kern w:val="0"/>
                <w:lang w:eastAsia="en-GB"/>
                <w14:ligatures w14:val="none"/>
              </w:rPr>
              <w:t>allowance;</w:t>
            </w:r>
            <w:proofErr w:type="gramEnd"/>
          </w:p>
          <w:p w14:paraId="2D5FAE26" w14:textId="77777777" w:rsidR="000E3F13" w:rsidRPr="00762546" w:rsidRDefault="000E3F13" w:rsidP="000E3F13">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The records that must be kept in respect of administering the offset allowance.</w:t>
            </w:r>
          </w:p>
          <w:p w14:paraId="4AA8C098" w14:textId="77777777" w:rsidR="000E3F13" w:rsidRDefault="000E3F13" w:rsidP="000E3F13">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These provisions form the statutory basis for the establishment and operation of COAS, even though the Act does not use the term "COAS" directly.</w:t>
            </w:r>
          </w:p>
          <w:p w14:paraId="71636B2C" w14:textId="77777777" w:rsidR="000E3F13" w:rsidRDefault="000E3F13" w:rsidP="000E3F13">
            <w:pPr>
              <w:textAlignment w:val="baseline"/>
              <w:rPr>
                <w:rFonts w:ascii="Calibri" w:eastAsia="Times New Roman" w:hAnsi="Calibri" w:cs="Calibri"/>
                <w:kern w:val="0"/>
                <w:lang w:eastAsia="en-GB"/>
                <w14:ligatures w14:val="none"/>
              </w:rPr>
            </w:pPr>
            <w:r w:rsidRPr="00C71530">
              <w:rPr>
                <w:rFonts w:ascii="Calibri" w:eastAsia="Times New Roman" w:hAnsi="Calibri" w:cs="Calibri"/>
                <w:kern w:val="0"/>
                <w:lang w:eastAsia="en-GB"/>
                <w14:ligatures w14:val="none"/>
              </w:rPr>
              <w:t>The Carbon Offset Regulations, issued under section 19 of the Carbon Tax Act, provide the detailed legal requirements for the use of COAS. While the Regulations do not use the acronym "COAS," they set out the requirements for the creation and operation of an "offset registry," which is the functional equivalent of COAS.</w:t>
            </w:r>
          </w:p>
          <w:p w14:paraId="0E1369B4" w14:textId="77777777" w:rsidR="000E3F13" w:rsidRDefault="000E3F13" w:rsidP="000E3F13">
            <w:pPr>
              <w:textAlignment w:val="baseline"/>
              <w:rPr>
                <w:rFonts w:ascii="Calibri" w:eastAsia="Times New Roman" w:hAnsi="Calibri" w:cs="Calibri"/>
                <w:kern w:val="0"/>
                <w:lang w:eastAsia="en-GB"/>
                <w14:ligatures w14:val="none"/>
              </w:rPr>
            </w:pPr>
            <w:r w:rsidRPr="000C57F9">
              <w:rPr>
                <w:rFonts w:ascii="Calibri" w:eastAsia="Times New Roman" w:hAnsi="Calibri" w:cs="Calibri"/>
                <w:kern w:val="0"/>
                <w:lang w:eastAsia="en-GB"/>
                <w14:ligatures w14:val="none"/>
              </w:rPr>
              <w:t xml:space="preserve">The Carbon Tax Act and the Carbon Offset Regulations require the use of an official offset registry—functionally the COAS—for the administration, listing, transfer, and retirement of carbon offsets. The Regulations (particularly Regulations 5, 6, 7, 8, 9, and 11) set out the detailed requirements for the creation, maintenance, and use of this system, which is essential for the operation of the carbon offset allowance under the carbon tax regime. The Act itself </w:t>
            </w:r>
            <w:r w:rsidRPr="000C57F9">
              <w:rPr>
                <w:rFonts w:ascii="Calibri" w:eastAsia="Times New Roman" w:hAnsi="Calibri" w:cs="Calibri"/>
                <w:kern w:val="0"/>
                <w:lang w:eastAsia="en-GB"/>
                <w14:ligatures w14:val="none"/>
              </w:rPr>
              <w:lastRenderedPageBreak/>
              <w:t>provides the enabling authority for these requirements but does not use the term "COAS" directly; the operational details are found in the Regulations.</w:t>
            </w:r>
          </w:p>
          <w:p w14:paraId="19CAD577" w14:textId="77777777" w:rsidR="000E3F13" w:rsidRDefault="000E3F13" w:rsidP="000E3F1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Regulation 2 of the Carbon Offset Regulations provides for the allowance of offset in respect of an approved project against carbon tax liability. An approved project is defined in regulation 1 (definitions) as:</w:t>
            </w:r>
          </w:p>
          <w:p w14:paraId="156BFD1E" w14:textId="77777777" w:rsidR="000E3F13" w:rsidRPr="00E06594" w:rsidRDefault="000E3F13" w:rsidP="000E3F13">
            <w:pPr>
              <w:textAlignment w:val="baseline"/>
              <w:rPr>
                <w:rFonts w:ascii="Calibri" w:eastAsia="Times New Roman" w:hAnsi="Calibri" w:cs="Calibri"/>
                <w:i/>
                <w:iCs/>
                <w:kern w:val="0"/>
                <w:lang w:eastAsia="en-GB"/>
                <w14:ligatures w14:val="none"/>
              </w:rPr>
            </w:pPr>
            <w:r w:rsidRPr="00E06594">
              <w:rPr>
                <w:rFonts w:ascii="Calibri" w:eastAsia="Times New Roman" w:hAnsi="Calibri" w:cs="Calibri"/>
                <w:i/>
                <w:iCs/>
                <w:kern w:val="0"/>
                <w:lang w:eastAsia="en-GB"/>
                <w14:ligatures w14:val="none"/>
              </w:rPr>
              <w:t xml:space="preserve">“(a) a CDM </w:t>
            </w:r>
            <w:proofErr w:type="gramStart"/>
            <w:r w:rsidRPr="00E06594">
              <w:rPr>
                <w:rFonts w:ascii="Calibri" w:eastAsia="Times New Roman" w:hAnsi="Calibri" w:cs="Calibri"/>
                <w:i/>
                <w:iCs/>
                <w:kern w:val="0"/>
                <w:lang w:eastAsia="en-GB"/>
                <w14:ligatures w14:val="none"/>
              </w:rPr>
              <w:t>project;</w:t>
            </w:r>
            <w:proofErr w:type="gramEnd"/>
          </w:p>
          <w:p w14:paraId="6ADA14EE" w14:textId="77777777" w:rsidR="000E3F13" w:rsidRPr="00E06594" w:rsidRDefault="000E3F13" w:rsidP="000E3F13">
            <w:pPr>
              <w:textAlignment w:val="baseline"/>
              <w:rPr>
                <w:rFonts w:ascii="Calibri" w:eastAsia="Times New Roman" w:hAnsi="Calibri" w:cs="Calibri"/>
                <w:i/>
                <w:iCs/>
                <w:kern w:val="0"/>
                <w:lang w:eastAsia="en-GB"/>
                <w14:ligatures w14:val="none"/>
              </w:rPr>
            </w:pPr>
            <w:r w:rsidRPr="00E06594">
              <w:rPr>
                <w:rFonts w:ascii="Calibri" w:eastAsia="Times New Roman" w:hAnsi="Calibri" w:cs="Calibri"/>
                <w:i/>
                <w:iCs/>
                <w:kern w:val="0"/>
                <w:lang w:eastAsia="en-GB"/>
                <w14:ligatures w14:val="none"/>
              </w:rPr>
              <w:t xml:space="preserve">(b) a VCS </w:t>
            </w:r>
            <w:proofErr w:type="gramStart"/>
            <w:r w:rsidRPr="00E06594">
              <w:rPr>
                <w:rFonts w:ascii="Calibri" w:eastAsia="Times New Roman" w:hAnsi="Calibri" w:cs="Calibri"/>
                <w:i/>
                <w:iCs/>
                <w:kern w:val="0"/>
                <w:lang w:eastAsia="en-GB"/>
                <w14:ligatures w14:val="none"/>
              </w:rPr>
              <w:t>project;</w:t>
            </w:r>
            <w:proofErr w:type="gramEnd"/>
          </w:p>
          <w:p w14:paraId="4B61CEAB" w14:textId="77777777" w:rsidR="000E3F13" w:rsidRPr="00E06594" w:rsidRDefault="000E3F13" w:rsidP="000E3F13">
            <w:pPr>
              <w:textAlignment w:val="baseline"/>
              <w:rPr>
                <w:rFonts w:ascii="Calibri" w:eastAsia="Times New Roman" w:hAnsi="Calibri" w:cs="Calibri"/>
                <w:i/>
                <w:iCs/>
                <w:kern w:val="0"/>
                <w:lang w:eastAsia="en-GB"/>
                <w14:ligatures w14:val="none"/>
              </w:rPr>
            </w:pPr>
            <w:r w:rsidRPr="00E06594">
              <w:rPr>
                <w:rFonts w:ascii="Calibri" w:eastAsia="Times New Roman" w:hAnsi="Calibri" w:cs="Calibri"/>
                <w:i/>
                <w:iCs/>
                <w:kern w:val="0"/>
                <w:lang w:eastAsia="en-GB"/>
                <w14:ligatures w14:val="none"/>
              </w:rPr>
              <w:t>(c) a Gold Standard project; or</w:t>
            </w:r>
          </w:p>
          <w:p w14:paraId="024258A8" w14:textId="77777777" w:rsidR="000E3F13" w:rsidRPr="00E06594" w:rsidRDefault="000E3F13" w:rsidP="000E3F13">
            <w:pPr>
              <w:textAlignment w:val="baseline"/>
              <w:rPr>
                <w:rFonts w:ascii="Calibri" w:eastAsia="Times New Roman" w:hAnsi="Calibri" w:cs="Calibri"/>
                <w:i/>
                <w:iCs/>
                <w:kern w:val="0"/>
                <w:lang w:eastAsia="en-GB"/>
                <w14:ligatures w14:val="none"/>
              </w:rPr>
            </w:pPr>
            <w:r w:rsidRPr="00E06594">
              <w:rPr>
                <w:rFonts w:ascii="Calibri" w:eastAsia="Times New Roman" w:hAnsi="Calibri" w:cs="Calibri"/>
                <w:i/>
                <w:iCs/>
                <w:kern w:val="0"/>
                <w:lang w:eastAsia="en-GB"/>
                <w14:ligatures w14:val="none"/>
              </w:rPr>
              <w:t>(d) a project that complies with another standard approved by the Minister of Energy</w:t>
            </w:r>
          </w:p>
          <w:p w14:paraId="38C2165D" w14:textId="464FD30A" w:rsidR="00702413" w:rsidRPr="00CF2E7C" w:rsidRDefault="000E3F13" w:rsidP="000E3F13">
            <w:pPr>
              <w:textAlignment w:val="baseline"/>
              <w:rPr>
                <w:rFonts w:ascii="Calibri" w:eastAsia="Times New Roman" w:hAnsi="Calibri" w:cs="Calibri"/>
                <w:kern w:val="0"/>
                <w:lang w:eastAsia="en-GB"/>
                <w14:ligatures w14:val="none"/>
              </w:rPr>
            </w:pPr>
            <w:r w:rsidRPr="00E06594">
              <w:rPr>
                <w:rFonts w:ascii="Calibri" w:eastAsia="Times New Roman" w:hAnsi="Calibri" w:cs="Calibri"/>
                <w:i/>
                <w:iCs/>
                <w:kern w:val="0"/>
                <w:lang w:eastAsia="en-GB"/>
                <w14:ligatures w14:val="none"/>
              </w:rPr>
              <w:t>or delegated authority</w:t>
            </w:r>
            <w:r>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3977912C" w:rsidR="00343937" w:rsidRPr="00CF2E7C" w:rsidRDefault="000E3F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3B0927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3F1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694C26A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3F1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2974945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3F1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86A96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3F1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E531EB" w14:textId="77777777" w:rsidR="00E2034A" w:rsidRDefault="00E2034A" w:rsidP="00E2034A">
            <w:pPr>
              <w:textAlignment w:val="baseline"/>
            </w:pPr>
            <w:r w:rsidRPr="00CE27CA">
              <w:t>While the Carbon Tax Act, 2019 (Act No. 15 of 2019) does not explicitly use the term "double counting," the avoidance of double counting is a core principle embedded in the design and operation of the carbon offset system as set out in the Carbon Offset Regulations (GN 1556 of 29 November 2019, as amended)</w:t>
            </w:r>
          </w:p>
          <w:p w14:paraId="41B8CBB4" w14:textId="77777777" w:rsidR="00E2034A" w:rsidRDefault="00E2034A" w:rsidP="00E2034A">
            <w:pPr>
              <w:textAlignment w:val="baseline"/>
            </w:pPr>
            <w:r w:rsidRPr="00E06594">
              <w:rPr>
                <w:b/>
                <w:bCs/>
              </w:rPr>
              <w:t>Eligibility Criteria</w:t>
            </w:r>
            <w:r>
              <w:t>: Only offsets from "approved projects" (CDM, VCS, Gold Standard, or other Minister-approved standards) are eligible. Projects must be outside the carbon tax net (i.e., not already subject to the carbon tax or benefiting from other government incentives such as section 12L of the Income Tax Act). This prevents the same emission reduction from being counted both as a tax reduction and as an offset, thereby avoiding double counting (Regulation 4(2)).</w:t>
            </w:r>
          </w:p>
          <w:p w14:paraId="696B8F3B" w14:textId="77777777" w:rsidR="00E2034A" w:rsidRDefault="00E2034A" w:rsidP="00E2034A">
            <w:pPr>
              <w:textAlignment w:val="baseline"/>
            </w:pPr>
            <w:r w:rsidRPr="00E06594">
              <w:rPr>
                <w:b/>
                <w:bCs/>
              </w:rPr>
              <w:t>Offset Registry and Retirement</w:t>
            </w:r>
            <w:r>
              <w:t xml:space="preserve">: The Regulations require the creation and maintenance of an offset registry (functionally, COAS), which consists of a project database and an ownership repository (Regulation 6). The registry tracks the listing, transfer, and retirement of offsets, ensuring that each credit is uniquely identified, its status is transparent, and its use is recorded (Regulation 7). Regulation 8 and 9 set out the process for claiming the offset allowance, which includes the requirement for the administrator to scrutinise applications and issue certificates only for eligible, non-retired credits. Regulation 11 requires that each certificate for offset use must contain a unique number and project details, </w:t>
            </w:r>
            <w:proofErr w:type="gramStart"/>
            <w:r>
              <w:t>ensuring</w:t>
            </w:r>
            <w:proofErr w:type="gramEnd"/>
            <w:r>
              <w:t xml:space="preserve"> traceability and preventing the same credit from being used more than once. </w:t>
            </w:r>
            <w:r w:rsidRPr="006A017D">
              <w:t>Offsets must be retired in the registry before they can be used to claim a tax allowance. Once retired, credits cannot be transferred or used again, which is a direct safeguard against double counting (Regulation 8(f), 9, 11).</w:t>
            </w:r>
            <w:r>
              <w:t xml:space="preserve"> </w:t>
            </w:r>
          </w:p>
          <w:p w14:paraId="5E62B847" w14:textId="77777777" w:rsidR="00E2034A" w:rsidRDefault="00E2034A" w:rsidP="00E2034A">
            <w:pPr>
              <w:textAlignment w:val="baseline"/>
            </w:pPr>
            <w:r w:rsidRPr="00E06594">
              <w:rPr>
                <w:b/>
                <w:bCs/>
              </w:rPr>
              <w:t>Unique Serial Numbers and Public Registry</w:t>
            </w:r>
            <w:r>
              <w:t>: COAS has issued operational documents such as the</w:t>
            </w:r>
            <w:r w:rsidRPr="00BC0D11">
              <w:t xml:space="preserve"> Standard Operating Procedures (SOPs) and Synthesis Report, </w:t>
            </w:r>
            <w:r>
              <w:t xml:space="preserve">which </w:t>
            </w:r>
            <w:r w:rsidRPr="00BC0D11">
              <w:t>while not legally binding, provide detailed guidance on the implementation of anti-double counting measures</w:t>
            </w:r>
            <w:r>
              <w:t xml:space="preserve">. </w:t>
            </w:r>
            <w:r w:rsidRPr="00EB6FFC">
              <w:t>Each offset credit is assigned a unique serial number and is tracked in a publicly accessible registry, allowing verification of its status and origin</w:t>
            </w:r>
            <w:r>
              <w:t>.</w:t>
            </w:r>
          </w:p>
          <w:p w14:paraId="0C446093" w14:textId="77777777" w:rsidR="00E2034A" w:rsidRDefault="00E2034A" w:rsidP="00E2034A">
            <w:pPr>
              <w:textAlignment w:val="baseline"/>
            </w:pPr>
            <w:r w:rsidRPr="00E06594">
              <w:rPr>
                <w:b/>
                <w:bCs/>
              </w:rPr>
              <w:t>Listing and Retirement Controls</w:t>
            </w:r>
            <w:r w:rsidRPr="00D731AD">
              <w:t>:</w:t>
            </w:r>
            <w:r>
              <w:t xml:space="preserve"> The COAS system requires that credits be cancelled in the originating registry (e.g., Verra, Gold Standard, CDM) before being listed in COAS. This ensures that a credit cannot be used in both the international voluntary market and the South African compliance market. The retirement of credits in COAS is irrevocable, and the system is designed to prevent double trading or double counting of credits either locally or internationally.</w:t>
            </w:r>
          </w:p>
          <w:p w14:paraId="4878BF58" w14:textId="53222203" w:rsidR="00343937" w:rsidRPr="00CF2E7C" w:rsidRDefault="00E2034A" w:rsidP="00CF2E7C">
            <w:pPr>
              <w:textAlignment w:val="baseline"/>
              <w:rPr>
                <w:rFonts w:ascii="Calibri" w:eastAsia="Times New Roman" w:hAnsi="Calibri" w:cs="Calibri"/>
                <w:kern w:val="0"/>
                <w:lang w:eastAsia="en-GB"/>
                <w14:ligatures w14:val="none"/>
              </w:rPr>
            </w:pPr>
            <w:r w:rsidRPr="00E06594">
              <w:rPr>
                <w:b/>
                <w:bCs/>
              </w:rPr>
              <w:t>Transaction Log and Audit Trail</w:t>
            </w:r>
            <w:r w:rsidRPr="004D7723">
              <w:t>:</w:t>
            </w:r>
            <w:r>
              <w:t xml:space="preserve"> </w:t>
            </w:r>
            <w:r w:rsidRPr="009444A2">
              <w:t>COAS maintains an electronic transaction log and ownership repository, providing a secure, auditable trail of all listings, transfers, and retirements.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F31311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1D366BB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4BCF5C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75485915" w:rsidR="00343937" w:rsidRPr="00CF2E7C" w:rsidRDefault="00E2034A" w:rsidP="00CF2E7C">
            <w:pPr>
              <w:textAlignment w:val="baseline"/>
              <w:rPr>
                <w:rFonts w:ascii="Calibri" w:eastAsia="Times New Roman" w:hAnsi="Calibri" w:cs="Calibri"/>
                <w:kern w:val="0"/>
                <w:lang w:eastAsia="en-GB"/>
                <w14:ligatures w14:val="none"/>
              </w:rPr>
            </w:pPr>
            <w:r w:rsidRPr="00916371">
              <w:rPr>
                <w:rFonts w:ascii="Calibri" w:eastAsia="Times New Roman" w:hAnsi="Calibri" w:cs="Calibri"/>
                <w:kern w:val="0"/>
                <w:lang w:eastAsia="en-GB"/>
                <w14:ligatures w14:val="none"/>
              </w:rPr>
              <w:t>The Carbon Tax Act, the Carbon Offset Regulations, and the operational documents issued by the Carbon Offset Administration System do not recommend or require how the financial revenues raised from the generation and/or trade of carbon credits can or must be used. The legal and operational framework is silent on this matter, leaving the use of such revenues to the discretion of the parties involved in the transactions. Any benefit-sharing, earmarking, or allocation of proceeds would be a matter of voluntary agreement or future policy development, not a current legal or regulatory requirement.</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738E66F9" w:rsidR="000A6F11" w:rsidRPr="00CF2E7C" w:rsidRDefault="00E20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28285BE" w:rsidR="00304070" w:rsidRPr="00CF2E7C" w:rsidRDefault="00E2034A" w:rsidP="00CF2E7C">
            <w:pPr>
              <w:textAlignment w:val="baseline"/>
              <w:rPr>
                <w:rFonts w:ascii="Calibri" w:eastAsia="Times New Roman" w:hAnsi="Calibri" w:cs="Calibri"/>
                <w:kern w:val="0"/>
                <w:lang w:eastAsia="en-GB"/>
                <w14:ligatures w14:val="none"/>
              </w:rPr>
            </w:pPr>
            <w:r w:rsidRPr="003B2BA5">
              <w:rPr>
                <w:rFonts w:ascii="Calibri" w:eastAsia="Times New Roman" w:hAnsi="Calibri" w:cs="Calibri"/>
                <w:kern w:val="0"/>
                <w:lang w:eastAsia="en-GB"/>
                <w14:ligatures w14:val="none"/>
              </w:rPr>
              <w:t>The Carbon Tax Act, the Carbon Offset Regulations, and the operational documents of the Carbon Offset Administration System do not establish or describe any formal grievance redress or dispute resolution mechanisms for disputes between host communities, project developers, or other stakeholders. Administrative recourse is available for actions or omissions by the COAS Administrator, but this is not designed for project-level or community disputes. Any such mechanisms would need to be provided by the international standards under which the project is certified, or through general South African legal remedies outside the carbon offset regulatory framework.</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205194813"/>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205194814"/>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bookmarkEnd w:id="32"/>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1451C1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1F6EF45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EA0636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6A12504A" w:rsidR="00047A9C" w:rsidRPr="00CF2E7C" w:rsidRDefault="00E20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5B9F1A0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01B71F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6933822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815ABB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26AC67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054C4A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2034A"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41E39B56" w:rsidR="00E2034A" w:rsidRPr="00CF2E7C" w:rsidRDefault="00E2034A" w:rsidP="00E2034A">
            <w:pPr>
              <w:textAlignment w:val="baseline"/>
              <w:rPr>
                <w:rFonts w:ascii="Calibri" w:eastAsia="Times New Roman" w:hAnsi="Calibri" w:cs="Calibri"/>
                <w:kern w:val="0"/>
                <w:lang w:eastAsia="en-GB"/>
                <w14:ligatures w14:val="none"/>
              </w:rPr>
            </w:pPr>
            <w:r w:rsidRPr="00C04A78">
              <w:rPr>
                <w:rFonts w:ascii="Calibri" w:eastAsia="Times New Roman" w:hAnsi="Calibri" w:cs="Calibri"/>
                <w:kern w:val="0"/>
                <w:lang w:eastAsia="en-GB"/>
                <w14:ligatures w14:val="none"/>
              </w:rPr>
              <w:t>While the Carbon Tax Act and Carbon Offset Regulations do not use the word "additionality" directly, they require that all eligible carbon credits must be generated under standards (CDM, VCS, GS, or approved domestic standards) that have additionality as a core principle. The COAS operational documents make this requirement explicit, detailing the need for projects to demonstrate that emissions reductions or removals would not have occurred without the incentive provided by carbon credit revenue. Thus, the South African carbon offset system, both in law and in practice, requires that carbon credits fulfil the principle of additionality.</w:t>
            </w:r>
          </w:p>
        </w:tc>
      </w:tr>
      <w:tr w:rsidR="00E2034A"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E2034A" w:rsidRPr="00CF2E7C" w:rsidRDefault="00E2034A" w:rsidP="00E2034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2034A"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E2034A" w:rsidRPr="00CF2E7C" w:rsidRDefault="00E2034A" w:rsidP="00E2034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E2034A" w:rsidRPr="00CF2E7C" w:rsidRDefault="00E2034A" w:rsidP="00E2034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E2034A" w:rsidRPr="00CF2E7C" w:rsidRDefault="00E2034A" w:rsidP="00E2034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E2034A"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3F8BAAED"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6C292DCC"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02CED3F0"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2034A"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E2034A" w:rsidRPr="00CF2E7C" w:rsidRDefault="00E2034A" w:rsidP="00E2034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[If response to 4.34.1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2034A"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E2034A"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E2034A" w:rsidRPr="00CF2E7C" w:rsidRDefault="00E2034A" w:rsidP="00E2034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E2034A"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E2034A" w:rsidRPr="00CF2E7C" w:rsidRDefault="00E2034A" w:rsidP="00E2034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E2034A" w:rsidRPr="00CF2E7C" w:rsidRDefault="00E2034A" w:rsidP="00E2034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E2034A" w:rsidRPr="00CF2E7C" w:rsidRDefault="00E2034A" w:rsidP="00E2034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E2034A"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53A55628"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08E730AD"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284315CC"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30A7E862"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348AD710"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4D694406"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2034A"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2034A"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6393335A" w:rsidR="00E2034A" w:rsidRPr="00CF2E7C" w:rsidRDefault="00E2034A" w:rsidP="00E2034A">
            <w:pPr>
              <w:textAlignment w:val="baseline"/>
              <w:rPr>
                <w:rFonts w:ascii="Calibri" w:eastAsia="Times New Roman" w:hAnsi="Calibri" w:cs="Calibri"/>
                <w:kern w:val="0"/>
                <w:lang w:eastAsia="en-GB"/>
                <w14:ligatures w14:val="none"/>
              </w:rPr>
            </w:pPr>
            <w:r w:rsidRPr="00AC4E3B">
              <w:rPr>
                <w:rFonts w:ascii="Calibri" w:eastAsia="Times New Roman" w:hAnsi="Calibri" w:cs="Calibri"/>
                <w:kern w:val="0"/>
                <w:lang w:eastAsia="en-GB"/>
                <w14:ligatures w14:val="none"/>
              </w:rPr>
              <w:t xml:space="preserve">The COAS operational documents </w:t>
            </w:r>
            <w:r>
              <w:rPr>
                <w:rFonts w:ascii="Calibri" w:eastAsia="Times New Roman" w:hAnsi="Calibri" w:cs="Calibri"/>
                <w:kern w:val="0"/>
                <w:lang w:eastAsia="en-GB"/>
                <w14:ligatures w14:val="none"/>
              </w:rPr>
              <w:t>(</w:t>
            </w:r>
            <w:r w:rsidRPr="004E29CB">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tandard </w:t>
            </w:r>
            <w:r w:rsidRPr="004E29CB">
              <w:rPr>
                <w:rFonts w:ascii="Calibri" w:eastAsia="Times New Roman" w:hAnsi="Calibri" w:cs="Calibri"/>
                <w:kern w:val="0"/>
                <w:lang w:eastAsia="en-GB"/>
                <w14:ligatures w14:val="none"/>
              </w:rPr>
              <w:t>O</w:t>
            </w:r>
            <w:r>
              <w:rPr>
                <w:rFonts w:ascii="Calibri" w:eastAsia="Times New Roman" w:hAnsi="Calibri" w:cs="Calibri"/>
                <w:kern w:val="0"/>
                <w:lang w:eastAsia="en-GB"/>
                <w14:ligatures w14:val="none"/>
              </w:rPr>
              <w:t>perating Procedure</w:t>
            </w:r>
            <w:r w:rsidRPr="004E29CB">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(SOPs)</w:t>
            </w:r>
            <w:r w:rsidRPr="004E29CB">
              <w:rPr>
                <w:rFonts w:ascii="Calibri" w:eastAsia="Times New Roman" w:hAnsi="Calibri" w:cs="Calibri"/>
                <w:kern w:val="0"/>
                <w:lang w:eastAsia="en-GB"/>
                <w14:ligatures w14:val="none"/>
              </w:rPr>
              <w:t>, Synthesis Report, Instruction Manual</w:t>
            </w:r>
            <w:r>
              <w:rPr>
                <w:rFonts w:ascii="Calibri" w:eastAsia="Times New Roman" w:hAnsi="Calibri" w:cs="Calibri"/>
                <w:kern w:val="0"/>
                <w:lang w:eastAsia="en-GB"/>
                <w14:ligatures w14:val="none"/>
              </w:rPr>
              <w:t xml:space="preserve">) </w:t>
            </w:r>
            <w:r w:rsidRPr="00AC4E3B">
              <w:rPr>
                <w:rFonts w:ascii="Calibri" w:eastAsia="Times New Roman" w:hAnsi="Calibri" w:cs="Calibri"/>
                <w:kern w:val="0"/>
                <w:lang w:eastAsia="en-GB"/>
                <w14:ligatures w14:val="none"/>
              </w:rPr>
              <w:t>provide further detail on how the system is to be administered, including eligibility, listing, transfer, and retirement of credits. With respect to reversal</w:t>
            </w:r>
            <w:r>
              <w:rPr>
                <w:rFonts w:ascii="Calibri" w:eastAsia="Times New Roman" w:hAnsi="Calibri" w:cs="Calibri"/>
                <w:kern w:val="0"/>
                <w:lang w:eastAsia="en-GB"/>
                <w14:ligatures w14:val="none"/>
              </w:rPr>
              <w:t xml:space="preserve"> </w:t>
            </w:r>
            <w:r w:rsidRPr="00AD367B">
              <w:rPr>
                <w:rFonts w:ascii="Calibri" w:eastAsia="Times New Roman" w:hAnsi="Calibri" w:cs="Calibri"/>
                <w:kern w:val="0"/>
                <w:lang w:eastAsia="en-GB"/>
                <w14:ligatures w14:val="none"/>
              </w:rPr>
              <w:t>SOPs and Synthesis Report explicitly recognise the risk of non-permanence</w:t>
            </w:r>
            <w:r>
              <w:rPr>
                <w:rFonts w:ascii="Calibri" w:eastAsia="Times New Roman" w:hAnsi="Calibri" w:cs="Calibri"/>
                <w:kern w:val="0"/>
                <w:lang w:eastAsia="en-GB"/>
                <w14:ligatures w14:val="none"/>
              </w:rPr>
              <w:t xml:space="preserve"> as follows: “</w:t>
            </w:r>
            <w:r w:rsidRPr="000C5B3B">
              <w:rPr>
                <w:rFonts w:ascii="Calibri" w:eastAsia="Times New Roman" w:hAnsi="Calibri" w:cs="Calibri"/>
                <w:kern w:val="0"/>
                <w:lang w:eastAsia="en-GB"/>
                <w14:ligatures w14:val="none"/>
              </w:rPr>
              <w:t>The risk of non-permanence in international programmes is dealt [with] in five main ways: buffers for unintentional reversals (VCS, GS, CAR), reserve accounts (VCS, CDM for CCS), compensatory measures by project developers (VCS and CAR), temporary carbon credits (CDM) or consideration in the host country's inventory (Joint implementation). The purpose of this exclusion related to the South African carbon offset administration system aims to ensure that project permanency risk not be transferred to the State but rather lie with the project owner.</w:t>
            </w:r>
            <w:r>
              <w:rPr>
                <w:rFonts w:ascii="Calibri" w:eastAsia="Times New Roman" w:hAnsi="Calibri" w:cs="Calibri"/>
                <w:kern w:val="0"/>
                <w:lang w:eastAsia="en-GB"/>
                <w14:ligatures w14:val="none"/>
              </w:rPr>
              <w:t xml:space="preserve">” </w:t>
            </w:r>
            <w:r w:rsidRPr="003D711D">
              <w:rPr>
                <w:rFonts w:ascii="Calibri" w:eastAsia="Times New Roman" w:hAnsi="Calibri" w:cs="Calibri"/>
                <w:kern w:val="0"/>
                <w:lang w:eastAsia="en-GB"/>
                <w14:ligatures w14:val="none"/>
              </w:rPr>
              <w:t>The COAS documents make clear that the South African system does not itself operate a buffer pool or insurance mechanism, nor does it provide for the state to replace credits in the event of reversal. Instead, the risk and responsibility for reversal are allocated to the project owner and managed through the requirements of the underlying standard</w:t>
            </w:r>
            <w:r>
              <w:rPr>
                <w:rFonts w:ascii="Calibri" w:eastAsia="Times New Roman" w:hAnsi="Calibri" w:cs="Calibri"/>
                <w:kern w:val="0"/>
                <w:lang w:eastAsia="en-GB"/>
                <w14:ligatures w14:val="none"/>
              </w:rPr>
              <w:t xml:space="preserve"> (VCS, GC and CDM)</w:t>
            </w:r>
            <w:r w:rsidRPr="003D711D">
              <w:rPr>
                <w:rFonts w:ascii="Calibri" w:eastAsia="Times New Roman" w:hAnsi="Calibri" w:cs="Calibri"/>
                <w:kern w:val="0"/>
                <w:lang w:eastAsia="en-GB"/>
                <w14:ligatures w14:val="none"/>
              </w:rPr>
              <w:t>.</w:t>
            </w:r>
          </w:p>
        </w:tc>
      </w:tr>
      <w:tr w:rsidR="00E2034A"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E2034A" w:rsidRPr="00CF2E7C" w:rsidRDefault="00E2034A" w:rsidP="00E2034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E2034A"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E2034A" w:rsidRPr="00CF2E7C" w:rsidRDefault="00E2034A" w:rsidP="00E2034A">
            <w:pPr>
              <w:textAlignment w:val="baseline"/>
              <w:rPr>
                <w:rFonts w:ascii="Calibri" w:eastAsia="Times New Roman" w:hAnsi="Calibri" w:cs="Calibri"/>
                <w:kern w:val="0"/>
                <w:lang w:eastAsia="en-GB"/>
                <w14:ligatures w14:val="none"/>
              </w:rPr>
            </w:pPr>
          </w:p>
        </w:tc>
      </w:tr>
      <w:tr w:rsidR="00E2034A"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2125FCB5" w:rsidR="00E2034A" w:rsidRPr="00CF2E7C" w:rsidRDefault="00E2034A" w:rsidP="00E2034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2034A"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E2034A" w:rsidRPr="00CF2E7C" w:rsidRDefault="00E2034A" w:rsidP="00E2034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E2034A"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E2034A" w:rsidRPr="00CF2E7C" w:rsidRDefault="00E2034A" w:rsidP="00E2034A">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E2034A" w:rsidRPr="00CF2E7C" w:rsidRDefault="00E2034A" w:rsidP="00E2034A">
            <w:pPr>
              <w:textAlignment w:val="baseline"/>
              <w:rPr>
                <w:rFonts w:ascii="Calibri" w:eastAsia="Times New Roman" w:hAnsi="Calibri" w:cs="Calibri"/>
                <w:kern w:val="0"/>
                <w:lang w:eastAsia="en-GB"/>
                <w14:ligatures w14:val="none"/>
              </w:rPr>
            </w:pPr>
          </w:p>
        </w:tc>
      </w:tr>
      <w:tr w:rsidR="00E2034A"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E2034A" w:rsidRPr="00CF2E7C" w:rsidRDefault="00E2034A" w:rsidP="00E2034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2034A"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E2034A" w:rsidRPr="00CF2E7C" w:rsidRDefault="00E2034A" w:rsidP="00E2034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E2034A" w:rsidRPr="00CF2E7C" w:rsidRDefault="00E2034A" w:rsidP="00E2034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E2034A" w:rsidRPr="00CF2E7C" w:rsidRDefault="00E2034A" w:rsidP="00E2034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E2034A"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495C6CA4"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9C0B4F4"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0EAEBA0"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F5E440B"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5E6561FD"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E2034A"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2034A"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E2034A"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E2034A" w:rsidRPr="00CF2E7C" w:rsidRDefault="00E2034A" w:rsidP="00E203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EAAEA6A" w:rsidR="00E2034A" w:rsidRPr="00CF2E7C" w:rsidRDefault="00E2034A" w:rsidP="00E2034A">
            <w:pPr>
              <w:textAlignment w:val="baseline"/>
              <w:rPr>
                <w:rFonts w:ascii="Calibri" w:eastAsia="Times New Roman" w:hAnsi="Calibri" w:cs="Calibri"/>
                <w:kern w:val="0"/>
                <w:lang w:eastAsia="en-GB"/>
                <w14:ligatures w14:val="none"/>
              </w:rPr>
            </w:pPr>
            <w:r w:rsidRPr="00B94B97">
              <w:t xml:space="preserve">The South African carbon offset system does not prescribe its own quantification methodologies for emission reductions or removals. Instead, it ensures environmental and quantification integrity by requiring that all eligible credits are generated under internationally recognised standards (CDM, VCS, GS) or any future domestic standard that meets equivalent criteria. These standards have detailed, conservative, and transparent quantification protocols, including baseline setting, monitoring, reporting, and third-party verification. The operational documents reinforce this approach, and the Draft Framework for Domestic Standards will require any new South African standard to include robust quantification criteria aligned with international best practice. Thus, the system </w:t>
            </w:r>
            <w:proofErr w:type="gramStart"/>
            <w:r w:rsidRPr="00B94B97">
              <w:t>as a whole ensures</w:t>
            </w:r>
            <w:proofErr w:type="gramEnd"/>
            <w:r w:rsidRPr="00B94B97">
              <w:t xml:space="preserve"> that only rigorously quantified emission reductions or removals are eligible for use under the carbon tax.</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205194815"/>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45AD9371" w:rsidR="00B87C89" w:rsidRPr="00CF2E7C" w:rsidRDefault="00E20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3D64AA9F" w:rsidR="00B87C89" w:rsidRPr="00CF2E7C" w:rsidRDefault="00E20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 terms of section 13(2) read with Schedule 2 of the Carbon Tax Act “</w:t>
            </w:r>
            <w:r>
              <w:rPr>
                <w:rFonts w:ascii="Calibri" w:eastAsia="Times New Roman" w:hAnsi="Calibri" w:cs="Calibri"/>
                <w:i/>
                <w:iCs/>
                <w:kern w:val="0"/>
                <w:lang w:eastAsia="en-GB"/>
                <w14:ligatures w14:val="none"/>
              </w:rPr>
              <w:t>[t]</w:t>
            </w:r>
            <w:r w:rsidRPr="00784B9B">
              <w:rPr>
                <w:rFonts w:ascii="Calibri" w:eastAsia="Times New Roman" w:hAnsi="Calibri" w:cs="Calibri"/>
                <w:i/>
                <w:iCs/>
                <w:kern w:val="0"/>
                <w:lang w:eastAsia="en-GB"/>
                <w14:ligatures w14:val="none"/>
              </w:rPr>
              <w:t xml:space="preserve">he reduction of the liability for the carbon tax allowed in terms of subsection (1) must not exceed so much of the percentage of the total greenhouse gas emissions of a taxpayer in respect of a tax period as is determined by matching the line in the column ‘‘Activity/Sector’’ with the percentage in the </w:t>
            </w:r>
            <w:r w:rsidRPr="00784B9B">
              <w:rPr>
                <w:rFonts w:ascii="Calibri" w:eastAsia="Times New Roman" w:hAnsi="Calibri" w:cs="Calibri"/>
                <w:i/>
                <w:iCs/>
                <w:kern w:val="0"/>
                <w:lang w:eastAsia="en-GB"/>
                <w14:ligatures w14:val="none"/>
              </w:rPr>
              <w:lastRenderedPageBreak/>
              <w:t>corresponding line of the column ‘‘Offsets allowance %’’ in Schedule 2.</w:t>
            </w:r>
            <w:r>
              <w:rPr>
                <w:rFonts w:ascii="Calibri" w:eastAsia="Times New Roman" w:hAnsi="Calibri" w:cs="Calibri"/>
                <w:kern w:val="0"/>
                <w:lang w:eastAsia="en-GB"/>
                <w14:ligatures w14:val="none"/>
              </w:rPr>
              <w:t>” The maximum percentage which may be offset is either 5% or 10% depending on the activities performed or the sector in which the entity operates.</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C973FCD" w:rsidR="002119B6" w:rsidRPr="00CF2E7C" w:rsidRDefault="00E20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5FA1428" w14:textId="77777777" w:rsidR="00E2034A" w:rsidRPr="00CF2E7C" w:rsidRDefault="00E2034A" w:rsidP="00E2034A">
            <w:pPr>
              <w:textAlignment w:val="baseline"/>
              <w:rPr>
                <w:rFonts w:ascii="Calibri" w:eastAsia="Times New Roman" w:hAnsi="Calibri" w:cs="Calibri"/>
                <w:kern w:val="0"/>
                <w:lang w:eastAsia="en-GB"/>
                <w14:ligatures w14:val="none"/>
              </w:rPr>
            </w:pPr>
            <w:r w:rsidRPr="00784B9B">
              <w:rPr>
                <w:rFonts w:ascii="Calibri" w:eastAsia="Times New Roman" w:hAnsi="Calibri" w:cs="Calibri"/>
                <w:b/>
                <w:bCs/>
                <w:kern w:val="0"/>
                <w:lang w:eastAsia="en-GB"/>
                <w14:ligatures w14:val="none"/>
              </w:rPr>
              <w:t>Geographical Location</w:t>
            </w:r>
            <w:r>
              <w:rPr>
                <w:rFonts w:ascii="Calibri" w:eastAsia="Times New Roman" w:hAnsi="Calibri" w:cs="Calibri"/>
                <w:kern w:val="0"/>
                <w:lang w:eastAsia="en-GB"/>
                <w14:ligatures w14:val="none"/>
              </w:rPr>
              <w:t xml:space="preserve">: </w:t>
            </w:r>
            <w:r w:rsidRPr="00A317E0">
              <w:rPr>
                <w:rFonts w:ascii="Calibri" w:eastAsia="Times New Roman" w:hAnsi="Calibri" w:cs="Calibri"/>
                <w:kern w:val="0"/>
                <w:lang w:eastAsia="en-GB"/>
                <w14:ligatures w14:val="none"/>
              </w:rPr>
              <w:t>Credits must be derived from projects carried out within the Republic of South Africa</w:t>
            </w:r>
            <w:r>
              <w:rPr>
                <w:rFonts w:ascii="Calibri" w:eastAsia="Times New Roman" w:hAnsi="Calibri" w:cs="Calibri"/>
                <w:kern w:val="0"/>
                <w:lang w:eastAsia="en-GB"/>
                <w14:ligatures w14:val="none"/>
              </w:rPr>
              <w:t xml:space="preserve"> (Regulation 2(1)(</w:t>
            </w:r>
            <w:r w:rsidRPr="00784B9B">
              <w:rPr>
                <w:rFonts w:ascii="Calibri" w:eastAsia="Times New Roman" w:hAnsi="Calibri" w:cs="Calibri"/>
                <w:i/>
                <w:iCs/>
                <w:kern w:val="0"/>
                <w:lang w:eastAsia="en-GB"/>
                <w14:ligatures w14:val="none"/>
              </w:rPr>
              <w:t>a</w:t>
            </w:r>
            <w:r>
              <w:rPr>
                <w:rFonts w:ascii="Calibri" w:eastAsia="Times New Roman" w:hAnsi="Calibri" w:cs="Calibri"/>
                <w:kern w:val="0"/>
                <w:lang w:eastAsia="en-GB"/>
                <w14:ligatures w14:val="none"/>
              </w:rPr>
              <w:t>), Carbon Offsets Regulations)</w:t>
            </w:r>
            <w:r w:rsidRPr="00A317E0">
              <w:rPr>
                <w:rFonts w:ascii="Calibri" w:eastAsia="Times New Roman" w:hAnsi="Calibri" w:cs="Calibri"/>
                <w:kern w:val="0"/>
                <w:lang w:eastAsia="en-GB"/>
                <w14:ligatures w14:val="none"/>
              </w:rPr>
              <w:t>.</w:t>
            </w:r>
          </w:p>
          <w:p w14:paraId="25E40A51" w14:textId="77777777" w:rsidR="00E2034A" w:rsidRDefault="00E2034A" w:rsidP="00E2034A">
            <w:r w:rsidRPr="00784B9B">
              <w:rPr>
                <w:b/>
                <w:bCs/>
              </w:rPr>
              <w:t>Project Activity Not Subject to Carbon Tax</w:t>
            </w:r>
            <w:r>
              <w:t xml:space="preserve">: </w:t>
            </w:r>
            <w:r w:rsidRPr="00D0790E">
              <w:t>The project activity generating the credit must not be subject to the carbon tax (i.e., must occur outside the carbon tax net)</w:t>
            </w:r>
            <w:r>
              <w:t xml:space="preserve"> </w:t>
            </w:r>
            <w:r>
              <w:rPr>
                <w:rFonts w:ascii="Calibri" w:eastAsia="Times New Roman" w:hAnsi="Calibri" w:cs="Calibri"/>
                <w:kern w:val="0"/>
                <w:lang w:eastAsia="en-GB"/>
                <w14:ligatures w14:val="none"/>
              </w:rPr>
              <w:t>(Regulation 2(1)(</w:t>
            </w:r>
            <w:r w:rsidRPr="00784B9B">
              <w:rPr>
                <w:rFonts w:ascii="Calibri" w:eastAsia="Times New Roman" w:hAnsi="Calibri" w:cs="Calibri"/>
                <w:i/>
                <w:iCs/>
                <w:kern w:val="0"/>
                <w:lang w:eastAsia="en-GB"/>
                <w14:ligatures w14:val="none"/>
              </w:rPr>
              <w:t>b</w:t>
            </w:r>
            <w:r>
              <w:rPr>
                <w:rFonts w:ascii="Calibri" w:eastAsia="Times New Roman" w:hAnsi="Calibri" w:cs="Calibri"/>
                <w:kern w:val="0"/>
                <w:lang w:eastAsia="en-GB"/>
                <w14:ligatures w14:val="none"/>
              </w:rPr>
              <w:t>), Carbon Offsets Regulations)</w:t>
            </w:r>
            <w:r w:rsidRPr="00D0790E">
              <w:t>.</w:t>
            </w:r>
          </w:p>
          <w:p w14:paraId="153D276A" w14:textId="386C795A" w:rsidR="002119B6" w:rsidRPr="00CF2E7C" w:rsidRDefault="00E2034A" w:rsidP="00E2034A">
            <w:pPr>
              <w:textAlignment w:val="baseline"/>
              <w:rPr>
                <w:rFonts w:ascii="Calibri" w:eastAsia="Times New Roman" w:hAnsi="Calibri" w:cs="Calibri"/>
                <w:kern w:val="0"/>
                <w:lang w:eastAsia="en-GB"/>
                <w14:ligatures w14:val="none"/>
              </w:rPr>
            </w:pPr>
            <w:r w:rsidRPr="00784B9B">
              <w:rPr>
                <w:b/>
                <w:bCs/>
              </w:rPr>
              <w:t>Verification and Certification</w:t>
            </w:r>
            <w:r>
              <w:t xml:space="preserve">: </w:t>
            </w:r>
            <w:r w:rsidRPr="002C24FD">
              <w:t>Emission reductions must be verified and certified under the provisions of the approved project standard (CDM, VCS, GS, or other Minister-approved standard)</w:t>
            </w:r>
            <w:r>
              <w:t xml:space="preserve"> </w:t>
            </w:r>
            <w:r>
              <w:rPr>
                <w:rFonts w:ascii="Calibri" w:eastAsia="Times New Roman" w:hAnsi="Calibri" w:cs="Calibri"/>
                <w:kern w:val="0"/>
                <w:lang w:eastAsia="en-GB"/>
                <w14:ligatures w14:val="none"/>
              </w:rPr>
              <w:t>(Regulation 2(2) and definition of “approved project”, Carbon Offsets Regulations)</w:t>
            </w:r>
            <w:r w:rsidRPr="002C24FD">
              <w:t>.</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59AD695B" w:rsidR="00FE7FA5" w:rsidRPr="00CF2E7C" w:rsidRDefault="00E20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498CDDB0" w:rsidR="00FE7FA5" w:rsidRPr="00CF2E7C" w:rsidRDefault="00E2034A" w:rsidP="00CF2E7C">
            <w:pPr>
              <w:textAlignment w:val="baseline"/>
              <w:rPr>
                <w:rFonts w:ascii="Calibri" w:eastAsia="Times New Roman" w:hAnsi="Calibri" w:cs="Calibri"/>
                <w:kern w:val="0"/>
                <w:lang w:eastAsia="en-GB"/>
                <w14:ligatures w14:val="none"/>
              </w:rPr>
            </w:pPr>
            <w:r w:rsidRPr="00815F7D">
              <w:rPr>
                <w:rFonts w:ascii="Calibri" w:eastAsia="Times New Roman" w:hAnsi="Calibri" w:cs="Calibri"/>
                <w:kern w:val="0"/>
                <w:lang w:eastAsia="en-GB"/>
                <w14:ligatures w14:val="none"/>
              </w:rPr>
              <w:t>The Carbon Tax Act, Carbon Offset Regulations, and COAS operational documents set guidelines and standards that are relevant to entities engaged in the trading of credits in the voluntary carbon market. These include criteria for project types, verification and certification, cancellation in originating registries, and principles of no double counting and sustainable development. While primarily focused on compliance markets, these guidelines ensure high standards of environmental integrity and transparency that can be applied to voluntary carbon market activities.</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5291A88" w14:textId="77777777" w:rsidR="00E2034A" w:rsidRDefault="00E2034A" w:rsidP="00E2034A">
            <w:r w:rsidRPr="00784B9B">
              <w:rPr>
                <w:b/>
                <w:bCs/>
              </w:rPr>
              <w:t>No Explicit Voluntary Market Mandate</w:t>
            </w:r>
            <w:r>
              <w:t>: The regulatory instruments do not set mandatory requirements for the voluntary carbon market. However, they provide a clear signal that credits meeting the compliance criteria (i.e., those issued under CDM, VCS, GS, or a Minister-approved standard, and meeting the above project criteria) are considered robust and credible. This is reinforced in the Draft Framework for Approval of Domestic Standards, which states that the same standards and methodologies should underpin both compliance and voluntary market credits to ensure environmental integrity and avoid double counting.</w:t>
            </w:r>
          </w:p>
          <w:p w14:paraId="68DA79BD" w14:textId="34EB9305" w:rsidR="00FE7FA5" w:rsidRPr="00CF2E7C" w:rsidRDefault="00E2034A" w:rsidP="00E2034A">
            <w:pPr>
              <w:textAlignment w:val="baseline"/>
              <w:rPr>
                <w:rFonts w:ascii="Calibri" w:eastAsia="Times New Roman" w:hAnsi="Calibri" w:cs="Calibri"/>
                <w:kern w:val="0"/>
                <w:lang w:eastAsia="en-GB"/>
                <w14:ligatures w14:val="none"/>
              </w:rPr>
            </w:pPr>
            <w:r w:rsidRPr="00784B9B">
              <w:rPr>
                <w:b/>
                <w:bCs/>
              </w:rPr>
              <w:t>No Explicit Voluntary Market Mandate</w:t>
            </w:r>
            <w:r>
              <w:t>: The regulatory instruments do not set mandatory requirements for the voluntary carbon market. However, they provide a clear signal that credits meeting the compliance criteria (i.e., those issued under CDM, VCS, GS, or a Minister-approved standard, and meeting the above project criteria) are considered robust and credible.</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4179769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6BC73AC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552789F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68E3905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D24E60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0B9A13A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30F1D2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48218B3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49E78A7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52B8A36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1061263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A03111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62B3CA1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265DB93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49838E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0ECC6E7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034A">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205194816"/>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205194817"/>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53B6454F" w:rsidR="00392F82" w:rsidRPr="009C4D10" w:rsidRDefault="00E2034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205194818"/>
      <w:r w:rsidRPr="009C4D10">
        <w:lastRenderedPageBreak/>
        <w:t>Domain 5: Prudential Tools</w:t>
      </w:r>
      <w:bookmarkEnd w:id="39"/>
    </w:p>
    <w:p w14:paraId="3E16913F" w14:textId="21F34EF6" w:rsidR="00AF3FC6" w:rsidRPr="00AF3FC6" w:rsidRDefault="00455E1B" w:rsidP="00AF3FC6">
      <w:pPr>
        <w:pStyle w:val="Heading2"/>
      </w:pPr>
      <w:bookmarkStart w:id="40" w:name="_Toc205194819"/>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AF744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205194820"/>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205194821"/>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205194822"/>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205194823"/>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205194824"/>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205194825"/>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205194826"/>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AF744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205194827"/>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205194828"/>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205194829"/>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205194830"/>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205194831"/>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205194832"/>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205194833"/>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8B2E9F" w14:textId="77777777" w:rsidR="00E44386" w:rsidRDefault="00E44386" w:rsidP="00874E39">
      <w:r>
        <w:separator/>
      </w:r>
    </w:p>
  </w:endnote>
  <w:endnote w:type="continuationSeparator" w:id="0">
    <w:p w14:paraId="197EC6D6" w14:textId="77777777" w:rsidR="00E44386" w:rsidRDefault="00E44386" w:rsidP="00874E39">
      <w:r>
        <w:continuationSeparator/>
      </w:r>
    </w:p>
  </w:endnote>
  <w:endnote w:type="continuationNotice" w:id="1">
    <w:p w14:paraId="7908BD96" w14:textId="77777777" w:rsidR="00E44386" w:rsidRDefault="00E443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panose1 w:val="00000000000000000000"/>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8F5B39" w14:textId="77777777" w:rsidR="00E44386" w:rsidRDefault="00E44386" w:rsidP="00874E39">
      <w:r>
        <w:separator/>
      </w:r>
    </w:p>
  </w:footnote>
  <w:footnote w:type="continuationSeparator" w:id="0">
    <w:p w14:paraId="1B661719" w14:textId="77777777" w:rsidR="00E44386" w:rsidRDefault="00E44386" w:rsidP="00874E39">
      <w:r>
        <w:continuationSeparator/>
      </w:r>
    </w:p>
  </w:footnote>
  <w:footnote w:type="continuationNotice" w:id="1">
    <w:p w14:paraId="6F389571" w14:textId="77777777" w:rsidR="00E44386" w:rsidRDefault="00E4438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hideSpellingErrors/>
  <w:hideGrammaticalError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0DE0"/>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3DD7"/>
    <w:rsid w:val="000A50AD"/>
    <w:rsid w:val="000A59F1"/>
    <w:rsid w:val="000A6B31"/>
    <w:rsid w:val="000A6F11"/>
    <w:rsid w:val="000A7C9B"/>
    <w:rsid w:val="000B0734"/>
    <w:rsid w:val="000B0D2E"/>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3F13"/>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336"/>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057D"/>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37B"/>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931"/>
    <w:rsid w:val="00220F36"/>
    <w:rsid w:val="00222757"/>
    <w:rsid w:val="00222DFA"/>
    <w:rsid w:val="00222E01"/>
    <w:rsid w:val="0022414E"/>
    <w:rsid w:val="00224CC6"/>
    <w:rsid w:val="00224D9E"/>
    <w:rsid w:val="00226338"/>
    <w:rsid w:val="0023001C"/>
    <w:rsid w:val="002303CF"/>
    <w:rsid w:val="002317BC"/>
    <w:rsid w:val="00232931"/>
    <w:rsid w:val="00232DDB"/>
    <w:rsid w:val="00233687"/>
    <w:rsid w:val="002338C8"/>
    <w:rsid w:val="002348F7"/>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A3A"/>
    <w:rsid w:val="002A52E3"/>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B4D"/>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8C5"/>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171B"/>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2D12"/>
    <w:rsid w:val="004D3416"/>
    <w:rsid w:val="004D5810"/>
    <w:rsid w:val="004D6484"/>
    <w:rsid w:val="004D7C53"/>
    <w:rsid w:val="004E4F56"/>
    <w:rsid w:val="004E51B5"/>
    <w:rsid w:val="004F0C55"/>
    <w:rsid w:val="004F1A08"/>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17A"/>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E06"/>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24C6"/>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936"/>
    <w:rsid w:val="00641E18"/>
    <w:rsid w:val="00641ECB"/>
    <w:rsid w:val="006422ED"/>
    <w:rsid w:val="006450DB"/>
    <w:rsid w:val="0064585A"/>
    <w:rsid w:val="00646CCB"/>
    <w:rsid w:val="00647D9B"/>
    <w:rsid w:val="00651DBE"/>
    <w:rsid w:val="006520E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B68"/>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059"/>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164"/>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2EB"/>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8CA"/>
    <w:rsid w:val="008F3BBD"/>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3D"/>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259"/>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AFC"/>
    <w:rsid w:val="00A123CE"/>
    <w:rsid w:val="00A1384B"/>
    <w:rsid w:val="00A14A3D"/>
    <w:rsid w:val="00A14AF3"/>
    <w:rsid w:val="00A14B52"/>
    <w:rsid w:val="00A175F8"/>
    <w:rsid w:val="00A17AE4"/>
    <w:rsid w:val="00A20CCF"/>
    <w:rsid w:val="00A21BB6"/>
    <w:rsid w:val="00A222D1"/>
    <w:rsid w:val="00A22938"/>
    <w:rsid w:val="00A22A89"/>
    <w:rsid w:val="00A234E2"/>
    <w:rsid w:val="00A23685"/>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445"/>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B7"/>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7778F"/>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A3"/>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0777"/>
    <w:rsid w:val="00CD0E9A"/>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AAB"/>
    <w:rsid w:val="00D16C1B"/>
    <w:rsid w:val="00D1763B"/>
    <w:rsid w:val="00D177DF"/>
    <w:rsid w:val="00D17FD2"/>
    <w:rsid w:val="00D20C74"/>
    <w:rsid w:val="00D2196F"/>
    <w:rsid w:val="00D21CA2"/>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631"/>
    <w:rsid w:val="00D637B2"/>
    <w:rsid w:val="00D6386F"/>
    <w:rsid w:val="00D66539"/>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A68"/>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A22"/>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440"/>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34A"/>
    <w:rsid w:val="00E20574"/>
    <w:rsid w:val="00E2059C"/>
    <w:rsid w:val="00E2063A"/>
    <w:rsid w:val="00E20EF2"/>
    <w:rsid w:val="00E224C8"/>
    <w:rsid w:val="00E244AA"/>
    <w:rsid w:val="00E24527"/>
    <w:rsid w:val="00E24D9B"/>
    <w:rsid w:val="00E25259"/>
    <w:rsid w:val="00E25EAF"/>
    <w:rsid w:val="00E26760"/>
    <w:rsid w:val="00E321EB"/>
    <w:rsid w:val="00E323F2"/>
    <w:rsid w:val="00E32892"/>
    <w:rsid w:val="00E330BA"/>
    <w:rsid w:val="00E34DED"/>
    <w:rsid w:val="00E368E8"/>
    <w:rsid w:val="00E36D6E"/>
    <w:rsid w:val="00E37C8B"/>
    <w:rsid w:val="00E37ECE"/>
    <w:rsid w:val="00E405B9"/>
    <w:rsid w:val="00E41941"/>
    <w:rsid w:val="00E425D4"/>
    <w:rsid w:val="00E43229"/>
    <w:rsid w:val="00E44386"/>
    <w:rsid w:val="00E454C9"/>
    <w:rsid w:val="00E50761"/>
    <w:rsid w:val="00E509D9"/>
    <w:rsid w:val="00E50B13"/>
    <w:rsid w:val="00E51B16"/>
    <w:rsid w:val="00E54DA9"/>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38D"/>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49C0"/>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3DAD"/>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A5E"/>
    <w:rsid w:val="00F90B02"/>
    <w:rsid w:val="00F921FF"/>
    <w:rsid w:val="00F9442E"/>
    <w:rsid w:val="00F944F3"/>
    <w:rsid w:val="00F946F6"/>
    <w:rsid w:val="00F94F26"/>
    <w:rsid w:val="00F9516C"/>
    <w:rsid w:val="00F9576A"/>
    <w:rsid w:val="00F96037"/>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707059"/>
    <w:pPr>
      <w:spacing w:before="100" w:beforeAutospacing="1" w:after="100" w:afterAutospacing="1"/>
    </w:pPr>
    <w:rPr>
      <w:rFonts w:ascii="Times New Roman" w:eastAsia="Times New Roman" w:hAnsi="Times New Roman" w:cs="Times New Roman"/>
      <w:kern w:val="0"/>
      <w:lang w:val="en-ZA" w:eastAsia="en-GB"/>
      <w14:ligatures w14:val="none"/>
    </w:rPr>
  </w:style>
  <w:style w:type="character" w:styleId="Strong">
    <w:name w:val="Strong"/>
    <w:basedOn w:val="DefaultParagraphFont"/>
    <w:uiPriority w:val="22"/>
    <w:qFormat/>
    <w:rsid w:val="0070705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1</TotalTime>
  <Pages>115</Pages>
  <Words>24913</Words>
  <Characters>142010</Characters>
  <Application>Microsoft Office Word</Application>
  <DocSecurity>0</DocSecurity>
  <Lines>1183</Lines>
  <Paragraphs>333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Bhavya Gupta</cp:lastModifiedBy>
  <cp:revision>2</cp:revision>
  <cp:lastPrinted>2025-03-21T00:14:00Z</cp:lastPrinted>
  <dcterms:created xsi:type="dcterms:W3CDTF">2025-08-04T09:27:00Z</dcterms:created>
  <dcterms:modified xsi:type="dcterms:W3CDTF">2025-08-04T09:27:00Z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